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06" w:rsidRDefault="00B17106" w:rsidP="00B17106">
      <w:pPr>
        <w:pStyle w:val="Heading1"/>
        <w:spacing w:before="0" w:beforeAutospacing="0"/>
        <w:textAlignment w:val="baseline"/>
        <w:rPr>
          <w:rFonts w:eastAsiaTheme="minorHAnsi"/>
        </w:rPr>
      </w:pPr>
      <w:r>
        <w:rPr>
          <w:rFonts w:ascii="Arial" w:eastAsiaTheme="minorHAnsi" w:hAnsi="Arial" w:cs="Arial"/>
          <w:color w:val="222222"/>
          <w:sz w:val="54"/>
          <w:szCs w:val="54"/>
        </w:rPr>
        <w:t>FedEx billed USPS a record $2 billion in 2018, according to annual supplier ranking</w:t>
      </w:r>
    </w:p>
    <w:p w:rsidR="00B17106" w:rsidRDefault="00B17106" w:rsidP="00B17106">
      <w:pPr>
        <w:pStyle w:val="yiv8622241557msonormal"/>
        <w:textAlignment w:val="baseline"/>
      </w:pPr>
      <w:r>
        <w:rPr>
          <w:rFonts w:ascii="inherit" w:hAnsi="inherit"/>
          <w:noProof/>
          <w:color w:val="9C9999"/>
        </w:rPr>
        <w:drawing>
          <wp:inline distT="0" distB="0" distL="0" distR="0">
            <wp:extent cx="219075" cy="228600"/>
            <wp:effectExtent l="0" t="0" r="9525" b="0"/>
            <wp:docPr id="1" name="Picture 1" descr="http://postalnews.com/blog/wp-content/themes/inkmag/images/d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8622241557Picture 3" descr="http://postalnews.com/blog/wp-content/themes/inkmag/images/date.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Pr>
          <w:rFonts w:ascii="inherit" w:hAnsi="inherit"/>
          <w:color w:val="9C9999"/>
        </w:rPr>
        <w:t> </w:t>
      </w:r>
      <w:hyperlink r:id="rId6" w:tgtFrame="_blank" w:tooltip="6:20 pm" w:history="1">
        <w:r>
          <w:rPr>
            <w:rStyle w:val="Hyperlink"/>
            <w:rFonts w:ascii="Verdana" w:hAnsi="Verdana"/>
            <w:color w:val="999999"/>
            <w:sz w:val="20"/>
            <w:szCs w:val="20"/>
            <w:bdr w:val="none" w:sz="0" w:space="0" w:color="auto" w:frame="1"/>
          </w:rPr>
          <w:t>February 14, 2019</w:t>
        </w:r>
      </w:hyperlink>
      <w:r>
        <w:rPr>
          <w:rFonts w:ascii="inherit" w:hAnsi="inherit"/>
          <w:color w:val="9C9999"/>
        </w:rPr>
        <w:t> </w:t>
      </w:r>
      <w:r>
        <w:rPr>
          <w:rStyle w:val="yiv8622241557cat-links"/>
          <w:rFonts w:ascii="inherit" w:hAnsi="inherit"/>
          <w:color w:val="9C9999"/>
          <w:bdr w:val="none" w:sz="0" w:space="0" w:color="auto" w:frame="1"/>
        </w:rPr>
        <w:t xml:space="preserve">  </w:t>
      </w:r>
    </w:p>
    <w:p w:rsidR="00B17106" w:rsidRDefault="00B17106" w:rsidP="00B17106">
      <w:pPr>
        <w:pStyle w:val="NormalWeb"/>
        <w:shd w:val="clear" w:color="auto" w:fill="FFFFFF"/>
        <w:spacing w:before="0" w:beforeAutospacing="0" w:after="0" w:afterAutospacing="0"/>
        <w:textAlignment w:val="baseline"/>
      </w:pPr>
      <w:r>
        <w:rPr>
          <w:rFonts w:ascii="inherit" w:hAnsi="inherit"/>
          <w:color w:val="404040"/>
          <w:bdr w:val="none" w:sz="0" w:space="0" w:color="auto" w:frame="1"/>
        </w:rPr>
        <w:t xml:space="preserve">FEBRUARY 14, 2019 – </w:t>
      </w:r>
      <w:proofErr w:type="spellStart"/>
      <w:r>
        <w:rPr>
          <w:rFonts w:ascii="inherit" w:hAnsi="inherit"/>
          <w:color w:val="404040"/>
          <w:bdr w:val="none" w:sz="0" w:space="0" w:color="auto" w:frame="1"/>
        </w:rPr>
        <w:t>Husch</w:t>
      </w:r>
      <w:proofErr w:type="spellEnd"/>
      <w:r>
        <w:rPr>
          <w:rFonts w:ascii="inherit" w:hAnsi="inherit"/>
          <w:color w:val="404040"/>
          <w:bdr w:val="none" w:sz="0" w:space="0" w:color="auto" w:frame="1"/>
        </w:rPr>
        <w:t xml:space="preserve"> Blackwell announced today the publication of its </w:t>
      </w:r>
      <w:hyperlink r:id="rId7" w:tgtFrame="_blank" w:history="1">
        <w:r>
          <w:rPr>
            <w:rStyle w:val="Hyperlink"/>
            <w:rFonts w:ascii="inherit" w:hAnsi="inherit"/>
            <w:color w:val="0F53A4"/>
            <w:bdr w:val="none" w:sz="0" w:space="0" w:color="auto" w:frame="1"/>
          </w:rPr>
          <w:t>Top 150 U.S. Postal Service Suppliers list</w:t>
        </w:r>
      </w:hyperlink>
      <w:r>
        <w:rPr>
          <w:rFonts w:ascii="inherit" w:hAnsi="inherit"/>
          <w:color w:val="404040"/>
          <w:bdr w:val="none" w:sz="0" w:space="0" w:color="auto" w:frame="1"/>
        </w:rPr>
        <w:t>, an annual look at the companies with the largest supplier relationships with the U.S. Postal Service (USPS).  All told, USPS spent nearly $16 billion on outside purchases, about $900 million more than the year before. Not surprisingly for an agency whose lifeblood is moving the mail, six of the top ten USPS contractors provide transportation services or equipment.</w:t>
      </w:r>
    </w:p>
    <w:p w:rsidR="00B17106" w:rsidRDefault="00B17106" w:rsidP="00B17106">
      <w:pPr>
        <w:pStyle w:val="NormalWeb"/>
        <w:shd w:val="clear" w:color="auto" w:fill="FFFFFF"/>
        <w:spacing w:before="0" w:beforeAutospacing="0" w:after="0" w:afterAutospacing="0"/>
        <w:textAlignment w:val="baseline"/>
      </w:pPr>
      <w:r>
        <w:rPr>
          <w:rFonts w:ascii="inherit" w:hAnsi="inherit"/>
          <w:color w:val="404040"/>
          <w:bdr w:val="none" w:sz="0" w:space="0" w:color="auto" w:frame="1"/>
        </w:rPr>
        <w:t>The Top 150 list has been compiled annually since 1999 by </w:t>
      </w:r>
      <w:hyperlink r:id="rId8" w:tgtFrame="_blank" w:history="1">
        <w:r>
          <w:rPr>
            <w:rStyle w:val="Hyperlink"/>
            <w:rFonts w:ascii="inherit" w:hAnsi="inherit"/>
            <w:color w:val="0F53A4"/>
            <w:bdr w:val="none" w:sz="0" w:space="0" w:color="auto" w:frame="1"/>
          </w:rPr>
          <w:t xml:space="preserve">David </w:t>
        </w:r>
        <w:proofErr w:type="spellStart"/>
        <w:r>
          <w:rPr>
            <w:rStyle w:val="Hyperlink"/>
            <w:rFonts w:ascii="inherit" w:hAnsi="inherit"/>
            <w:color w:val="0F53A4"/>
            <w:bdr w:val="none" w:sz="0" w:space="0" w:color="auto" w:frame="1"/>
          </w:rPr>
          <w:t>Hendel</w:t>
        </w:r>
        <w:proofErr w:type="spellEnd"/>
      </w:hyperlink>
      <w:r>
        <w:rPr>
          <w:rFonts w:ascii="inherit" w:hAnsi="inherit"/>
          <w:color w:val="404040"/>
          <w:bdr w:val="none" w:sz="0" w:space="0" w:color="auto" w:frame="1"/>
        </w:rPr>
        <w:t>, a partner in the firm’s </w:t>
      </w:r>
      <w:hyperlink r:id="rId9" w:tgtFrame="_blank" w:history="1">
        <w:r>
          <w:rPr>
            <w:rStyle w:val="Hyperlink"/>
            <w:rFonts w:ascii="inherit" w:hAnsi="inherit"/>
            <w:color w:val="0F53A4"/>
            <w:bdr w:val="none" w:sz="0" w:space="0" w:color="auto" w:frame="1"/>
          </w:rPr>
          <w:t>Technology</w:t>
        </w:r>
      </w:hyperlink>
      <w:r>
        <w:rPr>
          <w:rFonts w:ascii="inherit" w:hAnsi="inherit"/>
          <w:color w:val="404040"/>
          <w:bdr w:val="none" w:sz="0" w:space="0" w:color="auto" w:frame="1"/>
        </w:rPr>
        <w:t>, </w:t>
      </w:r>
      <w:hyperlink r:id="rId10" w:tgtFrame="_blank" w:history="1">
        <w:r>
          <w:rPr>
            <w:rStyle w:val="Hyperlink"/>
            <w:rFonts w:ascii="inherit" w:hAnsi="inherit"/>
            <w:color w:val="0F53A4"/>
            <w:bdr w:val="none" w:sz="0" w:space="0" w:color="auto" w:frame="1"/>
          </w:rPr>
          <w:t>Manufacturing</w:t>
        </w:r>
      </w:hyperlink>
      <w:r>
        <w:rPr>
          <w:rFonts w:ascii="inherit" w:hAnsi="inherit"/>
          <w:color w:val="404040"/>
          <w:bdr w:val="none" w:sz="0" w:space="0" w:color="auto" w:frame="1"/>
        </w:rPr>
        <w:t>, and </w:t>
      </w:r>
      <w:hyperlink r:id="rId11" w:tgtFrame="_blank" w:history="1">
        <w:r>
          <w:rPr>
            <w:rStyle w:val="Hyperlink"/>
            <w:rFonts w:ascii="inherit" w:hAnsi="inherit"/>
            <w:color w:val="0F53A4"/>
            <w:bdr w:val="none" w:sz="0" w:space="0" w:color="auto" w:frame="1"/>
          </w:rPr>
          <w:t>Transportation</w:t>
        </w:r>
      </w:hyperlink>
      <w:r>
        <w:rPr>
          <w:rFonts w:ascii="inherit" w:hAnsi="inherit"/>
          <w:color w:val="404040"/>
          <w:bdr w:val="none" w:sz="0" w:space="0" w:color="auto" w:frame="1"/>
        </w:rPr>
        <w:t> group, and leader of the firm’s </w:t>
      </w:r>
      <w:hyperlink r:id="rId12" w:tgtFrame="_blank" w:history="1">
        <w:r>
          <w:rPr>
            <w:rStyle w:val="Hyperlink"/>
            <w:rFonts w:ascii="inherit" w:hAnsi="inherit"/>
            <w:color w:val="0F53A4"/>
            <w:bdr w:val="none" w:sz="0" w:space="0" w:color="auto" w:frame="1"/>
          </w:rPr>
          <w:t>Postal Service Contracting</w:t>
        </w:r>
      </w:hyperlink>
      <w:r>
        <w:rPr>
          <w:rFonts w:ascii="inherit" w:hAnsi="inherit"/>
          <w:color w:val="404040"/>
          <w:bdr w:val="none" w:sz="0" w:space="0" w:color="auto" w:frame="1"/>
        </w:rPr>
        <w:t> team.  The list is based on data received in response to Freedom of Information Act requests and consolidates entries for affiliated companies.  </w:t>
      </w:r>
    </w:p>
    <w:p w:rsidR="00B17106" w:rsidRDefault="00B17106" w:rsidP="00B17106">
      <w:pPr>
        <w:pStyle w:val="NormalWeb"/>
        <w:shd w:val="clear" w:color="auto" w:fill="FFFFFF"/>
        <w:spacing w:before="0" w:beforeAutospacing="0" w:after="0" w:afterAutospacing="0"/>
        <w:textAlignment w:val="baseline"/>
      </w:pPr>
      <w:r>
        <w:rPr>
          <w:rFonts w:ascii="inherit" w:hAnsi="inherit"/>
          <w:color w:val="404040"/>
          <w:bdr w:val="none" w:sz="0" w:space="0" w:color="auto" w:frame="1"/>
        </w:rPr>
        <w:t>The Postal Service spent $15.9 billion on all outside purchases in FY 2018, of which $9.8 billion went to the agency’s Top 150 suppliers. The Top 150 received $540 million more than last year’s Top 150 group, and $1.5 billion more than those in FY 2016.</w:t>
      </w:r>
    </w:p>
    <w:p w:rsidR="00B17106" w:rsidRDefault="00B17106" w:rsidP="00B17106">
      <w:pPr>
        <w:pStyle w:val="NormalWeb"/>
        <w:shd w:val="clear" w:color="auto" w:fill="FFFFFF"/>
        <w:spacing w:before="0" w:beforeAutospacing="0" w:after="0" w:afterAutospacing="0"/>
        <w:textAlignment w:val="baseline"/>
      </w:pPr>
      <w:r>
        <w:rPr>
          <w:rFonts w:ascii="inherit" w:hAnsi="inherit"/>
          <w:color w:val="404040"/>
          <w:bdr w:val="none" w:sz="0" w:space="0" w:color="auto" w:frame="1"/>
        </w:rPr>
        <w:t>The top 10 USPS suppliers earned $4.2 billion, which is one quarter of the Postal Service’s total spend and $700 million more than last year’s Top 10.  The Top 10 suppliers also earned $3 billion more than the next ten largest suppliers.</w:t>
      </w:r>
    </w:p>
    <w:p w:rsidR="00B17106" w:rsidRDefault="00B17106" w:rsidP="00B17106">
      <w:pPr>
        <w:pStyle w:val="NormalWeb"/>
        <w:shd w:val="clear" w:color="auto" w:fill="FFFFFF"/>
        <w:spacing w:before="0" w:beforeAutospacing="0" w:after="0" w:afterAutospacing="0"/>
        <w:textAlignment w:val="baseline"/>
      </w:pPr>
      <w:r>
        <w:rPr>
          <w:rFonts w:ascii="inherit" w:hAnsi="inherit"/>
          <w:color w:val="404040"/>
          <w:bdr w:val="none" w:sz="0" w:space="0" w:color="auto" w:frame="1"/>
        </w:rPr>
        <w:t>As it has since 2002, </w:t>
      </w:r>
      <w:r>
        <w:rPr>
          <w:rFonts w:ascii="inherit" w:hAnsi="inherit"/>
          <w:b/>
          <w:bCs/>
          <w:color w:val="404040"/>
        </w:rPr>
        <w:t>Federal Express Corporation</w:t>
      </w:r>
      <w:r>
        <w:rPr>
          <w:rFonts w:ascii="inherit" w:hAnsi="inherit"/>
          <w:color w:val="404040"/>
          <w:bdr w:val="none" w:sz="0" w:space="0" w:color="auto" w:frame="1"/>
        </w:rPr>
        <w:t> flew again to the top of the list as the Postal Service’s largest supplier.  FedEx increased its USPS revenues by $400 million, jetting to the $2 billion mark for the first time and landing a new record for single-year supplier revenue. FedEx carries package and letter mail for the Postal Service. FedEx’s contract air cargo network contract with the Postal Service continues or another five years, ending on September 29, 2024.  </w:t>
      </w:r>
    </w:p>
    <w:p w:rsidR="00B17106" w:rsidRDefault="00B17106" w:rsidP="00B17106">
      <w:pPr>
        <w:pStyle w:val="NormalWeb"/>
        <w:shd w:val="clear" w:color="auto" w:fill="FFFFFF"/>
        <w:spacing w:before="0" w:beforeAutospacing="0" w:after="0" w:afterAutospacing="0"/>
        <w:textAlignment w:val="baseline"/>
      </w:pPr>
      <w:r>
        <w:rPr>
          <w:rFonts w:ascii="inherit" w:hAnsi="inherit"/>
          <w:color w:val="404040"/>
          <w:bdr w:val="none" w:sz="0" w:space="0" w:color="auto" w:frame="1"/>
        </w:rPr>
        <w:t>As a whole, air transportation suppliers increased their USPS revenue in 2018 from 2017’s totals.   </w:t>
      </w:r>
      <w:r>
        <w:rPr>
          <w:rFonts w:ascii="inherit" w:hAnsi="inherit"/>
          <w:b/>
          <w:bCs/>
          <w:color w:val="404040"/>
        </w:rPr>
        <w:t>United Parcel Service</w:t>
      </w:r>
      <w:r>
        <w:rPr>
          <w:rFonts w:ascii="inherit" w:hAnsi="inherit"/>
          <w:color w:val="404040"/>
          <w:bdr w:val="none" w:sz="0" w:space="0" w:color="auto" w:frame="1"/>
        </w:rPr>
        <w:t> had $206 million in revenue in FY 2018, which ups its total from last year by $34 million and raises its ranking five notches from no. 10 to no. 5. Similarly, </w:t>
      </w:r>
      <w:r>
        <w:rPr>
          <w:rFonts w:ascii="inherit" w:hAnsi="inherit"/>
          <w:b/>
          <w:bCs/>
          <w:color w:val="404040"/>
        </w:rPr>
        <w:t>United Airlines</w:t>
      </w:r>
      <w:r>
        <w:rPr>
          <w:rFonts w:ascii="inherit" w:hAnsi="inherit"/>
          <w:color w:val="404040"/>
          <w:bdr w:val="none" w:sz="0" w:space="0" w:color="auto" w:frame="1"/>
        </w:rPr>
        <w:t> revenue increased by $3 million; </w:t>
      </w:r>
      <w:r>
        <w:rPr>
          <w:rFonts w:ascii="inherit" w:hAnsi="inherit"/>
          <w:b/>
          <w:bCs/>
          <w:color w:val="404040"/>
        </w:rPr>
        <w:t>Delta Airlines</w:t>
      </w:r>
      <w:r>
        <w:rPr>
          <w:rFonts w:ascii="inherit" w:hAnsi="inherit"/>
          <w:color w:val="404040"/>
          <w:bdr w:val="none" w:sz="0" w:space="0" w:color="auto" w:frame="1"/>
        </w:rPr>
        <w:t> increased by $11 million; </w:t>
      </w:r>
      <w:r>
        <w:rPr>
          <w:rFonts w:ascii="inherit" w:hAnsi="inherit"/>
          <w:b/>
          <w:bCs/>
          <w:color w:val="404040"/>
        </w:rPr>
        <w:t>American Airlines</w:t>
      </w:r>
      <w:r>
        <w:rPr>
          <w:rFonts w:ascii="inherit" w:hAnsi="inherit"/>
          <w:color w:val="404040"/>
          <w:bdr w:val="none" w:sz="0" w:space="0" w:color="auto" w:frame="1"/>
        </w:rPr>
        <w:t> increased by $6 million; and cargo carrier </w:t>
      </w:r>
      <w:proofErr w:type="spellStart"/>
      <w:r>
        <w:rPr>
          <w:rFonts w:ascii="inherit" w:hAnsi="inherit"/>
          <w:b/>
          <w:bCs/>
          <w:color w:val="404040"/>
        </w:rPr>
        <w:t>Kalitta</w:t>
      </w:r>
      <w:proofErr w:type="spellEnd"/>
      <w:r>
        <w:rPr>
          <w:rFonts w:ascii="inherit" w:hAnsi="inherit"/>
          <w:b/>
          <w:bCs/>
          <w:color w:val="404040"/>
        </w:rPr>
        <w:t xml:space="preserve"> Air</w:t>
      </w:r>
      <w:r>
        <w:rPr>
          <w:rFonts w:ascii="inherit" w:hAnsi="inherit"/>
          <w:color w:val="404040"/>
          <w:bdr w:val="none" w:sz="0" w:space="0" w:color="auto" w:frame="1"/>
        </w:rPr>
        <w:t> by $19 million.  These across-the-board increases suggest that the Postal Service is moving more mail volume by air than before or paying more to do so.  </w:t>
      </w:r>
    </w:p>
    <w:p w:rsidR="00B17106" w:rsidRDefault="00B17106" w:rsidP="00B17106">
      <w:pPr>
        <w:pStyle w:val="NormalWeb"/>
        <w:shd w:val="clear" w:color="auto" w:fill="FFFFFF"/>
        <w:spacing w:before="0" w:beforeAutospacing="0" w:after="0" w:afterAutospacing="0"/>
        <w:textAlignment w:val="baseline"/>
      </w:pPr>
      <w:r>
        <w:rPr>
          <w:rFonts w:ascii="inherit" w:hAnsi="inherit"/>
          <w:color w:val="404040"/>
          <w:bdr w:val="none" w:sz="0" w:space="0" w:color="auto" w:frame="1"/>
        </w:rPr>
        <w:t>Mail haulers </w:t>
      </w:r>
      <w:proofErr w:type="spellStart"/>
      <w:r>
        <w:rPr>
          <w:rFonts w:ascii="inherit" w:hAnsi="inherit"/>
          <w:b/>
          <w:bCs/>
          <w:color w:val="404040"/>
        </w:rPr>
        <w:t>Hoovestol</w:t>
      </w:r>
      <w:proofErr w:type="spellEnd"/>
      <w:r>
        <w:rPr>
          <w:rFonts w:ascii="inherit" w:hAnsi="inherit"/>
          <w:b/>
          <w:bCs/>
          <w:color w:val="404040"/>
        </w:rPr>
        <w:t xml:space="preserve"> Inc.</w:t>
      </w:r>
      <w:r>
        <w:rPr>
          <w:rFonts w:ascii="inherit" w:hAnsi="inherit"/>
          <w:color w:val="404040"/>
          <w:bdr w:val="none" w:sz="0" w:space="0" w:color="auto" w:frame="1"/>
        </w:rPr>
        <w:t>, and its affiliated company </w:t>
      </w:r>
      <w:r>
        <w:rPr>
          <w:rFonts w:ascii="inherit" w:hAnsi="inherit"/>
          <w:b/>
          <w:bCs/>
          <w:color w:val="404040"/>
        </w:rPr>
        <w:t>Eagle Express Lines</w:t>
      </w:r>
      <w:r>
        <w:rPr>
          <w:rFonts w:ascii="inherit" w:hAnsi="inherit"/>
          <w:color w:val="404040"/>
          <w:bdr w:val="none" w:sz="0" w:space="0" w:color="auto" w:frame="1"/>
        </w:rPr>
        <w:t>, again took second place with $480 million in revenue, freighting an additional $28 million from last year.  We no longer consolidate entries from three separate companies held by parent </w:t>
      </w:r>
      <w:r>
        <w:rPr>
          <w:rFonts w:ascii="inherit" w:hAnsi="inherit"/>
          <w:b/>
          <w:bCs/>
          <w:color w:val="404040"/>
        </w:rPr>
        <w:t>Salmon Companies Inc.</w:t>
      </w:r>
      <w:r>
        <w:rPr>
          <w:rFonts w:ascii="inherit" w:hAnsi="inherit"/>
          <w:color w:val="404040"/>
          <w:bdr w:val="none" w:sz="0" w:space="0" w:color="auto" w:frame="1"/>
        </w:rPr>
        <w:t>, so the next largest ground carrier is </w:t>
      </w:r>
      <w:r>
        <w:rPr>
          <w:rFonts w:ascii="inherit" w:hAnsi="inherit"/>
          <w:b/>
          <w:bCs/>
          <w:color w:val="404040"/>
        </w:rPr>
        <w:t>Postal Fleet Services Inc.</w:t>
      </w:r>
      <w:r>
        <w:rPr>
          <w:rFonts w:ascii="inherit" w:hAnsi="inherit"/>
          <w:color w:val="404040"/>
          <w:bdr w:val="none" w:sz="0" w:space="0" w:color="auto" w:frame="1"/>
        </w:rPr>
        <w:t> with $161 million in revenue.  </w:t>
      </w:r>
      <w:r>
        <w:rPr>
          <w:rFonts w:ascii="inherit" w:hAnsi="inherit"/>
          <w:b/>
          <w:bCs/>
          <w:color w:val="404040"/>
        </w:rPr>
        <w:t>Wheeler Bros., Inc.</w:t>
      </w:r>
      <w:r>
        <w:rPr>
          <w:rFonts w:ascii="inherit" w:hAnsi="inherit"/>
          <w:color w:val="404040"/>
          <w:bdr w:val="none" w:sz="0" w:space="0" w:color="auto" w:frame="1"/>
        </w:rPr>
        <w:t>, which provides automotive parts for the Postal Service’s aging fleet, had $171 million in revenue to latch down the no. 8 spot.</w:t>
      </w:r>
    </w:p>
    <w:p w:rsidR="00B17106" w:rsidRDefault="00B17106" w:rsidP="00B17106">
      <w:pPr>
        <w:pStyle w:val="NormalWeb"/>
        <w:shd w:val="clear" w:color="auto" w:fill="FFFFFF"/>
        <w:spacing w:before="0" w:beforeAutospacing="0" w:after="0" w:afterAutospacing="0"/>
        <w:textAlignment w:val="baseline"/>
      </w:pPr>
      <w:r>
        <w:rPr>
          <w:rFonts w:ascii="inherit" w:hAnsi="inherit"/>
          <w:b/>
          <w:bCs/>
          <w:color w:val="404040"/>
        </w:rPr>
        <w:lastRenderedPageBreak/>
        <w:t>FCA US, LLC</w:t>
      </w:r>
      <w:r>
        <w:rPr>
          <w:rFonts w:ascii="inherit" w:hAnsi="inherit"/>
          <w:color w:val="404040"/>
          <w:bdr w:val="none" w:sz="0" w:space="0" w:color="auto" w:frame="1"/>
        </w:rPr>
        <w:t xml:space="preserve"> (formerly Chrysler Group LLC) accelerated from no. 22 to no. 6 with $178 million in revenue.  FCA is supplying the Postal Service with roughly 19,000 commercially available </w:t>
      </w:r>
      <w:proofErr w:type="spellStart"/>
      <w:proofErr w:type="gramStart"/>
      <w:r>
        <w:rPr>
          <w:rFonts w:ascii="inherit" w:hAnsi="inherit"/>
          <w:color w:val="404040"/>
          <w:bdr w:val="none" w:sz="0" w:space="0" w:color="auto" w:frame="1"/>
        </w:rPr>
        <w:t>ProMaster</w:t>
      </w:r>
      <w:proofErr w:type="spellEnd"/>
      <w:proofErr w:type="gramEnd"/>
      <w:r>
        <w:rPr>
          <w:rFonts w:ascii="inherit" w:hAnsi="inherit"/>
          <w:color w:val="404040"/>
          <w:bdr w:val="none" w:sz="0" w:space="0" w:color="auto" w:frame="1"/>
        </w:rPr>
        <w:t xml:space="preserve"> vans from Fiat Chrysler Automobiles.</w:t>
      </w:r>
    </w:p>
    <w:p w:rsidR="00B17106" w:rsidRDefault="00B17106" w:rsidP="00B17106">
      <w:pPr>
        <w:pStyle w:val="NormalWeb"/>
        <w:shd w:val="clear" w:color="auto" w:fill="FFFFFF"/>
        <w:spacing w:before="0" w:beforeAutospacing="0" w:after="0" w:afterAutospacing="0"/>
        <w:textAlignment w:val="baseline"/>
      </w:pPr>
      <w:r>
        <w:rPr>
          <w:rFonts w:ascii="inherit" w:hAnsi="inherit"/>
          <w:color w:val="404040"/>
          <w:bdr w:val="none" w:sz="0" w:space="0" w:color="auto" w:frame="1"/>
        </w:rPr>
        <w:t>Technology companies also figured prominently in the Top 10 for FY 2018.  </w:t>
      </w:r>
      <w:proofErr w:type="spellStart"/>
      <w:r>
        <w:rPr>
          <w:rFonts w:ascii="inherit" w:hAnsi="inherit"/>
          <w:b/>
          <w:bCs/>
          <w:color w:val="404040"/>
        </w:rPr>
        <w:t>EnergyUnited</w:t>
      </w:r>
      <w:proofErr w:type="spellEnd"/>
      <w:r>
        <w:rPr>
          <w:rFonts w:ascii="inherit" w:hAnsi="inherit"/>
          <w:b/>
          <w:bCs/>
          <w:color w:val="404040"/>
        </w:rPr>
        <w:t xml:space="preserve"> Electric Membership Corporation</w:t>
      </w:r>
      <w:r>
        <w:rPr>
          <w:rFonts w:ascii="inherit" w:hAnsi="inherit"/>
          <w:color w:val="404040"/>
          <w:bdr w:val="none" w:sz="0" w:space="0" w:color="auto" w:frame="1"/>
        </w:rPr>
        <w:t>, which provides telecommunication and energy billing services, was again ranked third, this time with $429 million in revenue, an increase of $27 million over last year. </w:t>
      </w:r>
      <w:r>
        <w:rPr>
          <w:rFonts w:ascii="inherit" w:hAnsi="inherit"/>
          <w:b/>
          <w:bCs/>
          <w:color w:val="404040"/>
        </w:rPr>
        <w:t>HP Enterprise Services, LLC</w:t>
      </w:r>
      <w:r>
        <w:rPr>
          <w:rFonts w:ascii="inherit" w:hAnsi="inherit"/>
          <w:color w:val="404040"/>
          <w:bdr w:val="none" w:sz="0" w:space="0" w:color="auto" w:frame="1"/>
        </w:rPr>
        <w:t>, a provider of computer equipment, was still no. 7, but with $21 million less revenue than the year before.</w:t>
      </w:r>
    </w:p>
    <w:p w:rsidR="00B17106" w:rsidRDefault="00B17106" w:rsidP="00B17106">
      <w:pPr>
        <w:pStyle w:val="NormalWeb"/>
        <w:shd w:val="clear" w:color="auto" w:fill="FFFFFF"/>
        <w:spacing w:before="0" w:beforeAutospacing="0" w:after="0" w:afterAutospacing="0"/>
        <w:textAlignment w:val="baseline"/>
      </w:pPr>
      <w:r>
        <w:rPr>
          <w:rFonts w:ascii="inherit" w:hAnsi="inherit"/>
          <w:b/>
          <w:bCs/>
          <w:color w:val="404040"/>
        </w:rPr>
        <w:t>Northrop Grumman Corporation/</w:t>
      </w:r>
      <w:proofErr w:type="spellStart"/>
      <w:r>
        <w:rPr>
          <w:rFonts w:ascii="inherit" w:hAnsi="inherit"/>
          <w:b/>
          <w:bCs/>
          <w:color w:val="404040"/>
        </w:rPr>
        <w:t>Solystic</w:t>
      </w:r>
      <w:proofErr w:type="spellEnd"/>
      <w:r>
        <w:rPr>
          <w:rFonts w:ascii="inherit" w:hAnsi="inherit"/>
          <w:b/>
          <w:bCs/>
          <w:color w:val="404040"/>
        </w:rPr>
        <w:t xml:space="preserve"> SAS</w:t>
      </w:r>
      <w:r>
        <w:rPr>
          <w:rFonts w:ascii="inherit" w:hAnsi="inherit"/>
          <w:color w:val="404040"/>
          <w:bdr w:val="none" w:sz="0" w:space="0" w:color="auto" w:frame="1"/>
        </w:rPr>
        <w:t> ranked no. 9 with $169 million in revenue.   </w:t>
      </w:r>
      <w:r>
        <w:rPr>
          <w:rFonts w:ascii="inherit" w:hAnsi="inherit"/>
          <w:b/>
          <w:bCs/>
          <w:color w:val="404040"/>
        </w:rPr>
        <w:t>Accenture Federal Services</w:t>
      </w:r>
      <w:r>
        <w:rPr>
          <w:rFonts w:ascii="inherit" w:hAnsi="inherit"/>
          <w:color w:val="404040"/>
          <w:bdr w:val="none" w:sz="0" w:space="0" w:color="auto" w:frame="1"/>
        </w:rPr>
        <w:t> saw a revenue decline of $39 million to $165 million, making it the no. 11 supplier.</w:t>
      </w:r>
    </w:p>
    <w:p w:rsidR="00B17106" w:rsidRDefault="00B17106" w:rsidP="00B17106">
      <w:pPr>
        <w:pStyle w:val="NormalWeb"/>
        <w:shd w:val="clear" w:color="auto" w:fill="FFFFFF"/>
        <w:spacing w:before="0" w:beforeAutospacing="0" w:after="0" w:afterAutospacing="0"/>
        <w:textAlignment w:val="baseline"/>
      </w:pPr>
      <w:r>
        <w:rPr>
          <w:rFonts w:ascii="inherit" w:hAnsi="inherit"/>
          <w:color w:val="404040"/>
          <w:bdr w:val="none" w:sz="0" w:space="0" w:color="auto" w:frame="1"/>
        </w:rPr>
        <w:t>The only company in the Top 10 not providing technology or transportation-related items is packaging products supplier </w:t>
      </w:r>
      <w:r>
        <w:rPr>
          <w:rFonts w:ascii="inherit" w:hAnsi="inherit"/>
          <w:b/>
          <w:bCs/>
          <w:color w:val="404040"/>
        </w:rPr>
        <w:t>Victory Packaging</w:t>
      </w:r>
      <w:r>
        <w:rPr>
          <w:rFonts w:ascii="inherit" w:hAnsi="inherit"/>
          <w:color w:val="404040"/>
          <w:bdr w:val="none" w:sz="0" w:space="0" w:color="auto" w:frame="1"/>
        </w:rPr>
        <w:t>. Victory, ranked fourth this year, wrapped up $220 million in revenue, almost exactly the same amount as the last two years.</w:t>
      </w:r>
    </w:p>
    <w:p w:rsidR="00B17106" w:rsidRDefault="00B17106" w:rsidP="00B17106">
      <w:pPr>
        <w:pStyle w:val="NormalWeb"/>
        <w:shd w:val="clear" w:color="auto" w:fill="FFFFFF"/>
        <w:spacing w:after="360" w:afterAutospacing="0"/>
        <w:textAlignment w:val="baseline"/>
      </w:pPr>
      <w:r>
        <w:rPr>
          <w:rFonts w:ascii="inherit" w:hAnsi="inherit"/>
          <w:b/>
          <w:bCs/>
          <w:color w:val="404040"/>
        </w:rPr>
        <w:t>2018 TOP 10 USPS SUPPLIERS</w:t>
      </w:r>
    </w:p>
    <w:tbl>
      <w:tblPr>
        <w:tblW w:w="10050" w:type="dxa"/>
        <w:tblCellSpacing w:w="15" w:type="dxa"/>
        <w:tblCellMar>
          <w:left w:w="0" w:type="dxa"/>
          <w:right w:w="0" w:type="dxa"/>
        </w:tblCellMar>
        <w:tblLook w:val="04A0" w:firstRow="1" w:lastRow="0" w:firstColumn="1" w:lastColumn="0" w:noHBand="0" w:noVBand="1"/>
      </w:tblPr>
      <w:tblGrid>
        <w:gridCol w:w="662"/>
        <w:gridCol w:w="5272"/>
        <w:gridCol w:w="2157"/>
        <w:gridCol w:w="1959"/>
      </w:tblGrid>
      <w:tr w:rsidR="00B17106" w:rsidTr="00B17106">
        <w:trPr>
          <w:tblCellSpacing w:w="15" w:type="dxa"/>
        </w:trPr>
        <w:tc>
          <w:tcPr>
            <w:tcW w:w="0" w:type="auto"/>
            <w:vAlign w:val="bottom"/>
            <w:hideMark/>
          </w:tcPr>
          <w:p w:rsidR="00B17106" w:rsidRDefault="00B17106">
            <w:pPr>
              <w:pStyle w:val="yiv8622241557msonormal"/>
            </w:pPr>
            <w:r>
              <w:rPr>
                <w:rFonts w:ascii="inherit" w:hAnsi="inherit"/>
                <w:b/>
                <w:bCs/>
              </w:rPr>
              <w:t>Rank</w:t>
            </w:r>
          </w:p>
        </w:tc>
        <w:tc>
          <w:tcPr>
            <w:tcW w:w="0" w:type="auto"/>
            <w:vAlign w:val="bottom"/>
            <w:hideMark/>
          </w:tcPr>
          <w:p w:rsidR="00B17106" w:rsidRDefault="00B17106">
            <w:pPr>
              <w:pStyle w:val="yiv8622241557msonormal"/>
            </w:pPr>
            <w:r>
              <w:rPr>
                <w:rFonts w:ascii="inherit" w:hAnsi="inherit"/>
                <w:b/>
                <w:bCs/>
              </w:rPr>
              <w:t>Company</w:t>
            </w:r>
          </w:p>
        </w:tc>
        <w:tc>
          <w:tcPr>
            <w:tcW w:w="0" w:type="auto"/>
            <w:vAlign w:val="bottom"/>
            <w:hideMark/>
          </w:tcPr>
          <w:p w:rsidR="00B17106" w:rsidRDefault="00B17106">
            <w:pPr>
              <w:pStyle w:val="yiv8622241557msonormal"/>
            </w:pPr>
            <w:r>
              <w:rPr>
                <w:rFonts w:ascii="inherit" w:hAnsi="inherit"/>
                <w:b/>
                <w:bCs/>
              </w:rPr>
              <w:t>FY18 Revenues ($)</w:t>
            </w:r>
          </w:p>
        </w:tc>
        <w:tc>
          <w:tcPr>
            <w:tcW w:w="0" w:type="auto"/>
            <w:vAlign w:val="bottom"/>
            <w:hideMark/>
          </w:tcPr>
          <w:p w:rsidR="00B17106" w:rsidRDefault="00B17106">
            <w:pPr>
              <w:pStyle w:val="yiv8622241557msonormal"/>
            </w:pPr>
            <w:r>
              <w:rPr>
                <w:rFonts w:ascii="inherit" w:hAnsi="inherit"/>
                <w:b/>
                <w:bCs/>
              </w:rPr>
              <w:t>Billing Location</w:t>
            </w:r>
          </w:p>
        </w:tc>
      </w:tr>
      <w:tr w:rsidR="00B17106" w:rsidTr="00B17106">
        <w:trPr>
          <w:tblCellSpacing w:w="15" w:type="dxa"/>
        </w:trPr>
        <w:tc>
          <w:tcPr>
            <w:tcW w:w="0" w:type="auto"/>
            <w:vAlign w:val="bottom"/>
            <w:hideMark/>
          </w:tcPr>
          <w:p w:rsidR="00B17106" w:rsidRDefault="00B17106">
            <w:pPr>
              <w:pStyle w:val="yiv8622241557msonormal"/>
            </w:pPr>
            <w:r>
              <w:rPr>
                <w:rFonts w:ascii="inherit" w:hAnsi="inherit"/>
                <w:bdr w:val="none" w:sz="0" w:space="0" w:color="auto" w:frame="1"/>
              </w:rPr>
              <w:t>1</w:t>
            </w:r>
          </w:p>
        </w:tc>
        <w:tc>
          <w:tcPr>
            <w:tcW w:w="0" w:type="auto"/>
            <w:vAlign w:val="bottom"/>
            <w:hideMark/>
          </w:tcPr>
          <w:p w:rsidR="00B17106" w:rsidRDefault="00B17106">
            <w:pPr>
              <w:pStyle w:val="yiv8622241557msonormal"/>
            </w:pPr>
            <w:r>
              <w:rPr>
                <w:rFonts w:ascii="inherit" w:hAnsi="inherit"/>
                <w:bdr w:val="none" w:sz="0" w:space="0" w:color="auto" w:frame="1"/>
              </w:rPr>
              <w:t>Federal Express Corporation*</w:t>
            </w:r>
          </w:p>
        </w:tc>
        <w:tc>
          <w:tcPr>
            <w:tcW w:w="0" w:type="auto"/>
            <w:vAlign w:val="bottom"/>
            <w:hideMark/>
          </w:tcPr>
          <w:p w:rsidR="00B17106" w:rsidRDefault="00B17106">
            <w:pPr>
              <w:pStyle w:val="yiv8622241557msonormal"/>
            </w:pPr>
            <w:r>
              <w:rPr>
                <w:rFonts w:ascii="inherit" w:hAnsi="inherit"/>
                <w:bdr w:val="none" w:sz="0" w:space="0" w:color="auto" w:frame="1"/>
              </w:rPr>
              <w:t>2,001,154,548.78</w:t>
            </w:r>
          </w:p>
        </w:tc>
        <w:tc>
          <w:tcPr>
            <w:tcW w:w="0" w:type="auto"/>
            <w:vAlign w:val="bottom"/>
            <w:hideMark/>
          </w:tcPr>
          <w:p w:rsidR="00B17106" w:rsidRDefault="00B17106">
            <w:pPr>
              <w:pStyle w:val="yiv8622241557msonormal"/>
            </w:pPr>
            <w:r>
              <w:rPr>
                <w:rFonts w:ascii="inherit" w:hAnsi="inherit"/>
                <w:bdr w:val="none" w:sz="0" w:space="0" w:color="auto" w:frame="1"/>
              </w:rPr>
              <w:t>Pasadena, CA</w:t>
            </w:r>
          </w:p>
        </w:tc>
      </w:tr>
      <w:tr w:rsidR="00B17106" w:rsidTr="00B17106">
        <w:trPr>
          <w:tblCellSpacing w:w="15" w:type="dxa"/>
        </w:trPr>
        <w:tc>
          <w:tcPr>
            <w:tcW w:w="0" w:type="auto"/>
            <w:vAlign w:val="bottom"/>
            <w:hideMark/>
          </w:tcPr>
          <w:p w:rsidR="00B17106" w:rsidRDefault="00B17106">
            <w:pPr>
              <w:pStyle w:val="yiv8622241557msonormal"/>
            </w:pPr>
            <w:r>
              <w:rPr>
                <w:rFonts w:ascii="inherit" w:hAnsi="inherit"/>
                <w:bdr w:val="none" w:sz="0" w:space="0" w:color="auto" w:frame="1"/>
              </w:rPr>
              <w:t>2</w:t>
            </w:r>
          </w:p>
        </w:tc>
        <w:tc>
          <w:tcPr>
            <w:tcW w:w="0" w:type="auto"/>
            <w:vAlign w:val="bottom"/>
            <w:hideMark/>
          </w:tcPr>
          <w:p w:rsidR="00B17106" w:rsidRDefault="00B17106">
            <w:pPr>
              <w:pStyle w:val="yiv8622241557msonormal"/>
            </w:pPr>
            <w:r>
              <w:rPr>
                <w:rFonts w:ascii="inherit" w:hAnsi="inherit"/>
                <w:bdr w:val="none" w:sz="0" w:space="0" w:color="auto" w:frame="1"/>
              </w:rPr>
              <w:t xml:space="preserve">Eagle Express Lines, Inc. / </w:t>
            </w:r>
            <w:proofErr w:type="spellStart"/>
            <w:r>
              <w:rPr>
                <w:rFonts w:ascii="inherit" w:hAnsi="inherit"/>
                <w:bdr w:val="none" w:sz="0" w:space="0" w:color="auto" w:frame="1"/>
              </w:rPr>
              <w:t>Hoovestol</w:t>
            </w:r>
            <w:proofErr w:type="spellEnd"/>
            <w:r>
              <w:rPr>
                <w:rFonts w:ascii="inherit" w:hAnsi="inherit"/>
                <w:bdr w:val="none" w:sz="0" w:space="0" w:color="auto" w:frame="1"/>
              </w:rPr>
              <w:t xml:space="preserve"> Inc.*</w:t>
            </w:r>
          </w:p>
        </w:tc>
        <w:tc>
          <w:tcPr>
            <w:tcW w:w="0" w:type="auto"/>
            <w:vAlign w:val="bottom"/>
            <w:hideMark/>
          </w:tcPr>
          <w:p w:rsidR="00B17106" w:rsidRDefault="00B17106">
            <w:pPr>
              <w:pStyle w:val="yiv8622241557msonormal"/>
            </w:pPr>
            <w:r>
              <w:rPr>
                <w:rFonts w:ascii="inherit" w:hAnsi="inherit"/>
                <w:bdr w:val="none" w:sz="0" w:space="0" w:color="auto" w:frame="1"/>
              </w:rPr>
              <w:t>480,806,282.38</w:t>
            </w:r>
          </w:p>
        </w:tc>
        <w:tc>
          <w:tcPr>
            <w:tcW w:w="0" w:type="auto"/>
            <w:vAlign w:val="bottom"/>
            <w:hideMark/>
          </w:tcPr>
          <w:p w:rsidR="00B17106" w:rsidRDefault="00B17106">
            <w:pPr>
              <w:pStyle w:val="yiv8622241557msonormal"/>
            </w:pPr>
            <w:r>
              <w:rPr>
                <w:rFonts w:ascii="inherit" w:hAnsi="inherit"/>
                <w:bdr w:val="none" w:sz="0" w:space="0" w:color="auto" w:frame="1"/>
              </w:rPr>
              <w:t>South Holland, IL</w:t>
            </w:r>
          </w:p>
        </w:tc>
      </w:tr>
      <w:tr w:rsidR="00B17106" w:rsidTr="00B17106">
        <w:trPr>
          <w:tblCellSpacing w:w="15" w:type="dxa"/>
        </w:trPr>
        <w:tc>
          <w:tcPr>
            <w:tcW w:w="0" w:type="auto"/>
            <w:vAlign w:val="bottom"/>
            <w:hideMark/>
          </w:tcPr>
          <w:p w:rsidR="00B17106" w:rsidRDefault="00B17106">
            <w:pPr>
              <w:pStyle w:val="yiv8622241557msonormal"/>
            </w:pPr>
            <w:r>
              <w:rPr>
                <w:rFonts w:ascii="inherit" w:hAnsi="inherit"/>
                <w:bdr w:val="none" w:sz="0" w:space="0" w:color="auto" w:frame="1"/>
              </w:rPr>
              <w:t>3</w:t>
            </w:r>
          </w:p>
        </w:tc>
        <w:tc>
          <w:tcPr>
            <w:tcW w:w="0" w:type="auto"/>
            <w:vAlign w:val="bottom"/>
            <w:hideMark/>
          </w:tcPr>
          <w:p w:rsidR="00B17106" w:rsidRDefault="00B17106">
            <w:pPr>
              <w:pStyle w:val="yiv8622241557msonormal"/>
            </w:pPr>
            <w:proofErr w:type="spellStart"/>
            <w:r>
              <w:rPr>
                <w:rFonts w:ascii="inherit" w:hAnsi="inherit"/>
                <w:bdr w:val="none" w:sz="0" w:space="0" w:color="auto" w:frame="1"/>
              </w:rPr>
              <w:t>EnergyUnited</w:t>
            </w:r>
            <w:proofErr w:type="spellEnd"/>
            <w:r>
              <w:rPr>
                <w:rFonts w:ascii="inherit" w:hAnsi="inherit"/>
                <w:bdr w:val="none" w:sz="0" w:space="0" w:color="auto" w:frame="1"/>
              </w:rPr>
              <w:t xml:space="preserve"> Electric Membership Corporation*</w:t>
            </w:r>
          </w:p>
        </w:tc>
        <w:tc>
          <w:tcPr>
            <w:tcW w:w="0" w:type="auto"/>
            <w:vAlign w:val="bottom"/>
            <w:hideMark/>
          </w:tcPr>
          <w:p w:rsidR="00B17106" w:rsidRDefault="00B17106">
            <w:pPr>
              <w:pStyle w:val="yiv8622241557msonormal"/>
            </w:pPr>
            <w:r>
              <w:rPr>
                <w:rFonts w:ascii="inherit" w:hAnsi="inherit"/>
                <w:bdr w:val="none" w:sz="0" w:space="0" w:color="auto" w:frame="1"/>
              </w:rPr>
              <w:t>429,307,400.89</w:t>
            </w:r>
          </w:p>
        </w:tc>
        <w:tc>
          <w:tcPr>
            <w:tcW w:w="0" w:type="auto"/>
            <w:vAlign w:val="bottom"/>
            <w:hideMark/>
          </w:tcPr>
          <w:p w:rsidR="00B17106" w:rsidRDefault="00B17106">
            <w:pPr>
              <w:pStyle w:val="yiv8622241557msonormal"/>
            </w:pPr>
            <w:r>
              <w:rPr>
                <w:rFonts w:ascii="inherit" w:hAnsi="inherit"/>
                <w:bdr w:val="none" w:sz="0" w:space="0" w:color="auto" w:frame="1"/>
              </w:rPr>
              <w:t>Statesville, NC</w:t>
            </w:r>
          </w:p>
        </w:tc>
      </w:tr>
      <w:tr w:rsidR="00B17106" w:rsidTr="00B17106">
        <w:trPr>
          <w:tblCellSpacing w:w="15" w:type="dxa"/>
        </w:trPr>
        <w:tc>
          <w:tcPr>
            <w:tcW w:w="0" w:type="auto"/>
            <w:vAlign w:val="bottom"/>
            <w:hideMark/>
          </w:tcPr>
          <w:p w:rsidR="00B17106" w:rsidRDefault="00B17106">
            <w:pPr>
              <w:pStyle w:val="yiv8622241557msonormal"/>
            </w:pPr>
            <w:r>
              <w:rPr>
                <w:rFonts w:ascii="inherit" w:hAnsi="inherit"/>
                <w:bdr w:val="none" w:sz="0" w:space="0" w:color="auto" w:frame="1"/>
              </w:rPr>
              <w:t>4</w:t>
            </w:r>
          </w:p>
        </w:tc>
        <w:tc>
          <w:tcPr>
            <w:tcW w:w="0" w:type="auto"/>
            <w:vAlign w:val="bottom"/>
            <w:hideMark/>
          </w:tcPr>
          <w:p w:rsidR="00B17106" w:rsidRDefault="00B17106">
            <w:pPr>
              <w:pStyle w:val="yiv8622241557msonormal"/>
            </w:pPr>
            <w:r>
              <w:rPr>
                <w:rFonts w:ascii="inherit" w:hAnsi="inherit"/>
                <w:bdr w:val="none" w:sz="0" w:space="0" w:color="auto" w:frame="1"/>
              </w:rPr>
              <w:t>Victory Packaging</w:t>
            </w:r>
          </w:p>
        </w:tc>
        <w:tc>
          <w:tcPr>
            <w:tcW w:w="0" w:type="auto"/>
            <w:vAlign w:val="bottom"/>
            <w:hideMark/>
          </w:tcPr>
          <w:p w:rsidR="00B17106" w:rsidRDefault="00B17106">
            <w:pPr>
              <w:pStyle w:val="yiv8622241557msonormal"/>
            </w:pPr>
            <w:r>
              <w:rPr>
                <w:rFonts w:ascii="inherit" w:hAnsi="inherit"/>
                <w:bdr w:val="none" w:sz="0" w:space="0" w:color="auto" w:frame="1"/>
              </w:rPr>
              <w:t>220,139,733.80</w:t>
            </w:r>
          </w:p>
        </w:tc>
        <w:tc>
          <w:tcPr>
            <w:tcW w:w="0" w:type="auto"/>
            <w:vAlign w:val="bottom"/>
            <w:hideMark/>
          </w:tcPr>
          <w:p w:rsidR="00B17106" w:rsidRDefault="00B17106">
            <w:pPr>
              <w:pStyle w:val="yiv8622241557msonormal"/>
            </w:pPr>
            <w:r>
              <w:rPr>
                <w:rFonts w:ascii="inherit" w:hAnsi="inherit"/>
                <w:bdr w:val="none" w:sz="0" w:space="0" w:color="auto" w:frame="1"/>
              </w:rPr>
              <w:t>Houston, TX</w:t>
            </w:r>
          </w:p>
        </w:tc>
      </w:tr>
      <w:tr w:rsidR="00B17106" w:rsidTr="00B17106">
        <w:trPr>
          <w:tblCellSpacing w:w="15" w:type="dxa"/>
        </w:trPr>
        <w:tc>
          <w:tcPr>
            <w:tcW w:w="0" w:type="auto"/>
            <w:vAlign w:val="bottom"/>
            <w:hideMark/>
          </w:tcPr>
          <w:p w:rsidR="00B17106" w:rsidRDefault="00B17106">
            <w:pPr>
              <w:pStyle w:val="yiv8622241557msonormal"/>
            </w:pPr>
            <w:r>
              <w:rPr>
                <w:rFonts w:ascii="inherit" w:hAnsi="inherit"/>
                <w:bdr w:val="none" w:sz="0" w:space="0" w:color="auto" w:frame="1"/>
              </w:rPr>
              <w:t>5</w:t>
            </w:r>
          </w:p>
        </w:tc>
        <w:tc>
          <w:tcPr>
            <w:tcW w:w="0" w:type="auto"/>
            <w:vAlign w:val="bottom"/>
            <w:hideMark/>
          </w:tcPr>
          <w:p w:rsidR="00B17106" w:rsidRDefault="00B17106">
            <w:pPr>
              <w:pStyle w:val="yiv8622241557msonormal"/>
            </w:pPr>
            <w:r>
              <w:rPr>
                <w:rFonts w:ascii="inherit" w:hAnsi="inherit"/>
                <w:bdr w:val="none" w:sz="0" w:space="0" w:color="auto" w:frame="1"/>
              </w:rPr>
              <w:t xml:space="preserve">United Parcel Service of America, </w:t>
            </w:r>
            <w:proofErr w:type="spellStart"/>
            <w:r>
              <w:rPr>
                <w:rFonts w:ascii="inherit" w:hAnsi="inherit"/>
                <w:bdr w:val="none" w:sz="0" w:space="0" w:color="auto" w:frame="1"/>
              </w:rPr>
              <w:t>Inc</w:t>
            </w:r>
            <w:proofErr w:type="spellEnd"/>
            <w:r>
              <w:rPr>
                <w:rFonts w:ascii="inherit" w:hAnsi="inherit"/>
                <w:bdr w:val="none" w:sz="0" w:space="0" w:color="auto" w:frame="1"/>
              </w:rPr>
              <w:t>* (UPS)</w:t>
            </w:r>
          </w:p>
        </w:tc>
        <w:tc>
          <w:tcPr>
            <w:tcW w:w="0" w:type="auto"/>
            <w:vAlign w:val="bottom"/>
            <w:hideMark/>
          </w:tcPr>
          <w:p w:rsidR="00B17106" w:rsidRDefault="00B17106">
            <w:pPr>
              <w:pStyle w:val="yiv8622241557msonormal"/>
            </w:pPr>
            <w:r>
              <w:rPr>
                <w:rFonts w:ascii="inherit" w:hAnsi="inherit"/>
                <w:bdr w:val="none" w:sz="0" w:space="0" w:color="auto" w:frame="1"/>
              </w:rPr>
              <w:t>205,556,407.98</w:t>
            </w:r>
          </w:p>
        </w:tc>
        <w:tc>
          <w:tcPr>
            <w:tcW w:w="0" w:type="auto"/>
            <w:vAlign w:val="bottom"/>
            <w:hideMark/>
          </w:tcPr>
          <w:p w:rsidR="00B17106" w:rsidRDefault="00B17106">
            <w:pPr>
              <w:pStyle w:val="yiv8622241557msonormal"/>
            </w:pPr>
            <w:r>
              <w:rPr>
                <w:rFonts w:ascii="inherit" w:hAnsi="inherit"/>
                <w:bdr w:val="none" w:sz="0" w:space="0" w:color="auto" w:frame="1"/>
              </w:rPr>
              <w:t>Louisville, KY</w:t>
            </w:r>
          </w:p>
        </w:tc>
      </w:tr>
      <w:tr w:rsidR="00B17106" w:rsidTr="00B17106">
        <w:trPr>
          <w:tblCellSpacing w:w="15" w:type="dxa"/>
        </w:trPr>
        <w:tc>
          <w:tcPr>
            <w:tcW w:w="0" w:type="auto"/>
            <w:vAlign w:val="bottom"/>
            <w:hideMark/>
          </w:tcPr>
          <w:p w:rsidR="00B17106" w:rsidRDefault="00B17106">
            <w:pPr>
              <w:pStyle w:val="yiv8622241557msonormal"/>
            </w:pPr>
            <w:r>
              <w:rPr>
                <w:rFonts w:ascii="inherit" w:hAnsi="inherit"/>
                <w:bdr w:val="none" w:sz="0" w:space="0" w:color="auto" w:frame="1"/>
              </w:rPr>
              <w:t>6</w:t>
            </w:r>
          </w:p>
        </w:tc>
        <w:tc>
          <w:tcPr>
            <w:tcW w:w="0" w:type="auto"/>
            <w:vAlign w:val="bottom"/>
            <w:hideMark/>
          </w:tcPr>
          <w:p w:rsidR="00B17106" w:rsidRDefault="00B17106">
            <w:pPr>
              <w:pStyle w:val="yiv8622241557msonormal"/>
            </w:pPr>
            <w:r>
              <w:rPr>
                <w:rFonts w:ascii="inherit" w:hAnsi="inherit"/>
                <w:bdr w:val="none" w:sz="0" w:space="0" w:color="auto" w:frame="1"/>
              </w:rPr>
              <w:t>FCA US, LLC (Formerly: Chrysler Group LLC)</w:t>
            </w:r>
          </w:p>
        </w:tc>
        <w:tc>
          <w:tcPr>
            <w:tcW w:w="0" w:type="auto"/>
            <w:vAlign w:val="bottom"/>
            <w:hideMark/>
          </w:tcPr>
          <w:p w:rsidR="00B17106" w:rsidRDefault="00B17106">
            <w:pPr>
              <w:pStyle w:val="yiv8622241557msonormal"/>
            </w:pPr>
            <w:r>
              <w:rPr>
                <w:rFonts w:ascii="inherit" w:hAnsi="inherit"/>
                <w:bdr w:val="none" w:sz="0" w:space="0" w:color="auto" w:frame="1"/>
              </w:rPr>
              <w:t>178,607,251.00</w:t>
            </w:r>
          </w:p>
        </w:tc>
        <w:tc>
          <w:tcPr>
            <w:tcW w:w="0" w:type="auto"/>
            <w:vAlign w:val="bottom"/>
            <w:hideMark/>
          </w:tcPr>
          <w:p w:rsidR="00B17106" w:rsidRDefault="00B17106">
            <w:pPr>
              <w:pStyle w:val="yiv8622241557msonormal"/>
            </w:pPr>
            <w:r>
              <w:rPr>
                <w:rFonts w:ascii="inherit" w:hAnsi="inherit"/>
                <w:bdr w:val="none" w:sz="0" w:space="0" w:color="auto" w:frame="1"/>
              </w:rPr>
              <w:t>Auburn Hills, MI</w:t>
            </w:r>
          </w:p>
        </w:tc>
      </w:tr>
      <w:tr w:rsidR="00B17106" w:rsidTr="00B17106">
        <w:trPr>
          <w:tblCellSpacing w:w="15" w:type="dxa"/>
        </w:trPr>
        <w:tc>
          <w:tcPr>
            <w:tcW w:w="0" w:type="auto"/>
            <w:vAlign w:val="bottom"/>
            <w:hideMark/>
          </w:tcPr>
          <w:p w:rsidR="00B17106" w:rsidRDefault="00B17106">
            <w:pPr>
              <w:pStyle w:val="yiv8622241557msonormal"/>
            </w:pPr>
            <w:r>
              <w:rPr>
                <w:rFonts w:ascii="inherit" w:hAnsi="inherit"/>
                <w:bdr w:val="none" w:sz="0" w:space="0" w:color="auto" w:frame="1"/>
              </w:rPr>
              <w:t>7</w:t>
            </w:r>
          </w:p>
        </w:tc>
        <w:tc>
          <w:tcPr>
            <w:tcW w:w="0" w:type="auto"/>
            <w:vAlign w:val="bottom"/>
            <w:hideMark/>
          </w:tcPr>
          <w:p w:rsidR="00B17106" w:rsidRDefault="00B17106">
            <w:pPr>
              <w:pStyle w:val="yiv8622241557msonormal"/>
            </w:pPr>
            <w:r>
              <w:rPr>
                <w:rFonts w:ascii="inherit" w:hAnsi="inherit"/>
                <w:bdr w:val="none" w:sz="0" w:space="0" w:color="auto" w:frame="1"/>
              </w:rPr>
              <w:t>HP Enterprise Services, LLC*</w:t>
            </w:r>
          </w:p>
        </w:tc>
        <w:tc>
          <w:tcPr>
            <w:tcW w:w="0" w:type="auto"/>
            <w:vAlign w:val="bottom"/>
            <w:hideMark/>
          </w:tcPr>
          <w:p w:rsidR="00B17106" w:rsidRDefault="00B17106">
            <w:pPr>
              <w:pStyle w:val="yiv8622241557msonormal"/>
            </w:pPr>
            <w:r>
              <w:rPr>
                <w:rFonts w:ascii="inherit" w:hAnsi="inherit"/>
                <w:bdr w:val="none" w:sz="0" w:space="0" w:color="auto" w:frame="1"/>
              </w:rPr>
              <w:t>177,293,718.97</w:t>
            </w:r>
          </w:p>
        </w:tc>
        <w:tc>
          <w:tcPr>
            <w:tcW w:w="0" w:type="auto"/>
            <w:vAlign w:val="bottom"/>
            <w:hideMark/>
          </w:tcPr>
          <w:p w:rsidR="00B17106" w:rsidRDefault="00B17106">
            <w:pPr>
              <w:pStyle w:val="yiv8622241557msonormal"/>
            </w:pPr>
            <w:r>
              <w:rPr>
                <w:rFonts w:ascii="inherit" w:hAnsi="inherit"/>
                <w:bdr w:val="none" w:sz="0" w:space="0" w:color="auto" w:frame="1"/>
              </w:rPr>
              <w:t>Plano, TX</w:t>
            </w:r>
          </w:p>
        </w:tc>
      </w:tr>
      <w:tr w:rsidR="00B17106" w:rsidTr="00B17106">
        <w:trPr>
          <w:tblCellSpacing w:w="15" w:type="dxa"/>
        </w:trPr>
        <w:tc>
          <w:tcPr>
            <w:tcW w:w="0" w:type="auto"/>
            <w:vAlign w:val="bottom"/>
            <w:hideMark/>
          </w:tcPr>
          <w:p w:rsidR="00B17106" w:rsidRDefault="00B17106">
            <w:pPr>
              <w:pStyle w:val="yiv8622241557msonormal"/>
            </w:pPr>
            <w:r>
              <w:rPr>
                <w:rFonts w:ascii="inherit" w:hAnsi="inherit"/>
                <w:bdr w:val="none" w:sz="0" w:space="0" w:color="auto" w:frame="1"/>
              </w:rPr>
              <w:t>8</w:t>
            </w:r>
          </w:p>
        </w:tc>
        <w:tc>
          <w:tcPr>
            <w:tcW w:w="0" w:type="auto"/>
            <w:vAlign w:val="bottom"/>
            <w:hideMark/>
          </w:tcPr>
          <w:p w:rsidR="00B17106" w:rsidRDefault="00B17106">
            <w:pPr>
              <w:pStyle w:val="yiv8622241557msonormal"/>
            </w:pPr>
            <w:r>
              <w:rPr>
                <w:rFonts w:ascii="inherit" w:hAnsi="inherit"/>
                <w:bdr w:val="none" w:sz="0" w:space="0" w:color="auto" w:frame="1"/>
              </w:rPr>
              <w:t>Wheeler Bros., Inc.</w:t>
            </w:r>
          </w:p>
        </w:tc>
        <w:tc>
          <w:tcPr>
            <w:tcW w:w="0" w:type="auto"/>
            <w:vAlign w:val="bottom"/>
            <w:hideMark/>
          </w:tcPr>
          <w:p w:rsidR="00B17106" w:rsidRDefault="00B17106">
            <w:pPr>
              <w:pStyle w:val="yiv8622241557msonormal"/>
            </w:pPr>
            <w:r>
              <w:rPr>
                <w:rFonts w:ascii="inherit" w:hAnsi="inherit"/>
                <w:bdr w:val="none" w:sz="0" w:space="0" w:color="auto" w:frame="1"/>
              </w:rPr>
              <w:t>171,581,828.95</w:t>
            </w:r>
          </w:p>
        </w:tc>
        <w:tc>
          <w:tcPr>
            <w:tcW w:w="0" w:type="auto"/>
            <w:vAlign w:val="bottom"/>
            <w:hideMark/>
          </w:tcPr>
          <w:p w:rsidR="00B17106" w:rsidRDefault="00B17106">
            <w:pPr>
              <w:pStyle w:val="yiv8622241557msonormal"/>
            </w:pPr>
            <w:r>
              <w:rPr>
                <w:rFonts w:ascii="inherit" w:hAnsi="inherit"/>
                <w:bdr w:val="none" w:sz="0" w:space="0" w:color="auto" w:frame="1"/>
              </w:rPr>
              <w:t>Somerset, PA</w:t>
            </w:r>
          </w:p>
        </w:tc>
      </w:tr>
      <w:tr w:rsidR="00B17106" w:rsidTr="00B17106">
        <w:trPr>
          <w:tblCellSpacing w:w="15" w:type="dxa"/>
        </w:trPr>
        <w:tc>
          <w:tcPr>
            <w:tcW w:w="0" w:type="auto"/>
            <w:vAlign w:val="bottom"/>
            <w:hideMark/>
          </w:tcPr>
          <w:p w:rsidR="00B17106" w:rsidRDefault="00B17106">
            <w:pPr>
              <w:pStyle w:val="yiv8622241557msonormal"/>
            </w:pPr>
            <w:r>
              <w:rPr>
                <w:rFonts w:ascii="inherit" w:hAnsi="inherit"/>
                <w:bdr w:val="none" w:sz="0" w:space="0" w:color="auto" w:frame="1"/>
              </w:rPr>
              <w:t>9</w:t>
            </w:r>
          </w:p>
        </w:tc>
        <w:tc>
          <w:tcPr>
            <w:tcW w:w="0" w:type="auto"/>
            <w:vAlign w:val="bottom"/>
            <w:hideMark/>
          </w:tcPr>
          <w:p w:rsidR="00B17106" w:rsidRDefault="00B17106">
            <w:pPr>
              <w:pStyle w:val="yiv8622241557msonormal"/>
            </w:pPr>
            <w:r>
              <w:rPr>
                <w:rFonts w:ascii="inherit" w:hAnsi="inherit"/>
                <w:bdr w:val="none" w:sz="0" w:space="0" w:color="auto" w:frame="1"/>
              </w:rPr>
              <w:t>Northrop Grumman Corporation /</w:t>
            </w:r>
            <w:proofErr w:type="spellStart"/>
            <w:r>
              <w:rPr>
                <w:rFonts w:ascii="inherit" w:hAnsi="inherit"/>
                <w:bdr w:val="none" w:sz="0" w:space="0" w:color="auto" w:frame="1"/>
              </w:rPr>
              <w:t>Solystic</w:t>
            </w:r>
            <w:proofErr w:type="spellEnd"/>
            <w:r>
              <w:rPr>
                <w:rFonts w:ascii="inherit" w:hAnsi="inherit"/>
                <w:bdr w:val="none" w:sz="0" w:space="0" w:color="auto" w:frame="1"/>
              </w:rPr>
              <w:t xml:space="preserve"> SAS*</w:t>
            </w:r>
          </w:p>
        </w:tc>
        <w:tc>
          <w:tcPr>
            <w:tcW w:w="0" w:type="auto"/>
            <w:vAlign w:val="bottom"/>
            <w:hideMark/>
          </w:tcPr>
          <w:p w:rsidR="00B17106" w:rsidRDefault="00B17106">
            <w:pPr>
              <w:pStyle w:val="yiv8622241557msonormal"/>
            </w:pPr>
            <w:r>
              <w:rPr>
                <w:rFonts w:ascii="inherit" w:hAnsi="inherit"/>
                <w:bdr w:val="none" w:sz="0" w:space="0" w:color="auto" w:frame="1"/>
              </w:rPr>
              <w:t>169,690,459.91</w:t>
            </w:r>
          </w:p>
        </w:tc>
        <w:tc>
          <w:tcPr>
            <w:tcW w:w="0" w:type="auto"/>
            <w:vAlign w:val="bottom"/>
            <w:hideMark/>
          </w:tcPr>
          <w:p w:rsidR="00B17106" w:rsidRDefault="00B17106">
            <w:pPr>
              <w:pStyle w:val="yiv8622241557msonormal"/>
            </w:pPr>
            <w:r>
              <w:rPr>
                <w:rFonts w:ascii="inherit" w:hAnsi="inherit"/>
                <w:bdr w:val="none" w:sz="0" w:space="0" w:color="auto" w:frame="1"/>
              </w:rPr>
              <w:t>Merrifield, VA</w:t>
            </w:r>
          </w:p>
        </w:tc>
      </w:tr>
      <w:tr w:rsidR="00B17106" w:rsidTr="00B17106">
        <w:trPr>
          <w:tblCellSpacing w:w="15" w:type="dxa"/>
        </w:trPr>
        <w:tc>
          <w:tcPr>
            <w:tcW w:w="0" w:type="auto"/>
            <w:vAlign w:val="bottom"/>
            <w:hideMark/>
          </w:tcPr>
          <w:p w:rsidR="00B17106" w:rsidRDefault="00B17106">
            <w:pPr>
              <w:pStyle w:val="yiv8622241557msonormal"/>
            </w:pPr>
            <w:r>
              <w:rPr>
                <w:rFonts w:ascii="inherit" w:hAnsi="inherit"/>
                <w:bdr w:val="none" w:sz="0" w:space="0" w:color="auto" w:frame="1"/>
              </w:rPr>
              <w:t>10</w:t>
            </w:r>
          </w:p>
        </w:tc>
        <w:tc>
          <w:tcPr>
            <w:tcW w:w="0" w:type="auto"/>
            <w:vAlign w:val="bottom"/>
            <w:hideMark/>
          </w:tcPr>
          <w:p w:rsidR="00B17106" w:rsidRDefault="00B17106">
            <w:pPr>
              <w:pStyle w:val="yiv8622241557msonormal"/>
            </w:pPr>
            <w:r>
              <w:rPr>
                <w:rFonts w:ascii="inherit" w:hAnsi="inherit"/>
                <w:bdr w:val="none" w:sz="0" w:space="0" w:color="auto" w:frame="1"/>
              </w:rPr>
              <w:t>United Airlines, Inc.*</w:t>
            </w:r>
          </w:p>
        </w:tc>
        <w:tc>
          <w:tcPr>
            <w:tcW w:w="0" w:type="auto"/>
            <w:vAlign w:val="bottom"/>
            <w:hideMark/>
          </w:tcPr>
          <w:p w:rsidR="00B17106" w:rsidRDefault="00B17106">
            <w:pPr>
              <w:pStyle w:val="yiv8622241557msonormal"/>
            </w:pPr>
            <w:r>
              <w:rPr>
                <w:rFonts w:ascii="inherit" w:hAnsi="inherit"/>
                <w:bdr w:val="none" w:sz="0" w:space="0" w:color="auto" w:frame="1"/>
              </w:rPr>
              <w:t>167,470,951.91</w:t>
            </w:r>
          </w:p>
        </w:tc>
        <w:tc>
          <w:tcPr>
            <w:tcW w:w="0" w:type="auto"/>
            <w:vAlign w:val="bottom"/>
            <w:hideMark/>
          </w:tcPr>
          <w:p w:rsidR="00B17106" w:rsidRDefault="00B17106">
            <w:pPr>
              <w:pStyle w:val="yiv8622241557msonormal"/>
            </w:pPr>
            <w:r>
              <w:rPr>
                <w:rFonts w:ascii="inherit" w:hAnsi="inherit"/>
                <w:bdr w:val="none" w:sz="0" w:space="0" w:color="auto" w:frame="1"/>
              </w:rPr>
              <w:t>Pasadena, CA</w:t>
            </w:r>
          </w:p>
        </w:tc>
      </w:tr>
    </w:tbl>
    <w:p w:rsidR="00B17106" w:rsidRDefault="00B17106" w:rsidP="00B17106">
      <w:pPr>
        <w:pStyle w:val="NormalWeb"/>
        <w:shd w:val="clear" w:color="auto" w:fill="FFFFFF"/>
        <w:spacing w:before="0" w:beforeAutospacing="0" w:after="0" w:afterAutospacing="0"/>
        <w:textAlignment w:val="baseline"/>
      </w:pPr>
      <w:r>
        <w:rPr>
          <w:rFonts w:ascii="inherit" w:hAnsi="inherit"/>
          <w:i/>
          <w:iCs/>
          <w:color w:val="404040"/>
          <w:bdr w:val="none" w:sz="0" w:space="0" w:color="auto" w:frame="1"/>
        </w:rPr>
        <w:t>*Denotes consolidated entry</w:t>
      </w:r>
    </w:p>
    <w:p w:rsidR="00B17106" w:rsidRDefault="00B17106" w:rsidP="00B17106">
      <w:pPr>
        <w:pStyle w:val="NormalWeb"/>
        <w:shd w:val="clear" w:color="auto" w:fill="FFFFFF"/>
        <w:spacing w:before="0" w:beforeAutospacing="0" w:after="0" w:afterAutospacing="0"/>
        <w:textAlignment w:val="baseline"/>
      </w:pPr>
      <w:r>
        <w:rPr>
          <w:rFonts w:ascii="inherit" w:hAnsi="inherit"/>
          <w:i/>
          <w:iCs/>
          <w:color w:val="404040"/>
          <w:bdr w:val="none" w:sz="0" w:space="0" w:color="auto" w:frame="1"/>
        </w:rPr>
        <w:t>Entries for companies believed to be affiliated or have common ownership were consolidated under the company with the highest individual ranking or best known name. City/state designations are based on the information in USPS payment records and may not be the contractor’s primary location. The data covers payments made by the Postal Service in FY 2018 (October 1, 2017 – September 30, 2018). As in past years, purchases made under credit cards (including U.S. Bank and Voyager card fuel purchases) are not included in this list.</w:t>
      </w:r>
    </w:p>
    <w:p w:rsidR="00B17106" w:rsidRDefault="00B17106" w:rsidP="00B17106">
      <w:pPr>
        <w:pStyle w:val="NormalWeb"/>
        <w:shd w:val="clear" w:color="auto" w:fill="FFFFFF"/>
        <w:spacing w:before="0" w:beforeAutospacing="0" w:after="0" w:afterAutospacing="0"/>
        <w:textAlignment w:val="baseline"/>
      </w:pPr>
      <w:r>
        <w:rPr>
          <w:rFonts w:ascii="inherit" w:hAnsi="inherit"/>
          <w:color w:val="404040"/>
          <w:bdr w:val="none" w:sz="0" w:space="0" w:color="auto" w:frame="1"/>
        </w:rPr>
        <w:t># # #</w:t>
      </w:r>
    </w:p>
    <w:p w:rsidR="00B17106" w:rsidRDefault="00B17106" w:rsidP="00B17106">
      <w:pPr>
        <w:pStyle w:val="NormalWeb"/>
        <w:shd w:val="clear" w:color="auto" w:fill="FFFFFF"/>
        <w:spacing w:after="360" w:afterAutospacing="0"/>
        <w:textAlignment w:val="baseline"/>
      </w:pPr>
      <w:r>
        <w:rPr>
          <w:rFonts w:ascii="inherit" w:hAnsi="inherit"/>
          <w:color w:val="404040"/>
        </w:rPr>
        <w:t> </w:t>
      </w:r>
    </w:p>
    <w:p w:rsidR="00B17106" w:rsidRDefault="00B17106" w:rsidP="00B17106">
      <w:pPr>
        <w:pStyle w:val="NormalWeb"/>
        <w:shd w:val="clear" w:color="auto" w:fill="FFFFFF"/>
        <w:spacing w:after="360" w:afterAutospacing="0"/>
        <w:textAlignment w:val="baseline"/>
      </w:pPr>
      <w:r>
        <w:rPr>
          <w:rFonts w:ascii="inherit" w:hAnsi="inherit"/>
          <w:b/>
          <w:bCs/>
          <w:color w:val="404040"/>
        </w:rPr>
        <w:t xml:space="preserve">About </w:t>
      </w:r>
      <w:proofErr w:type="spellStart"/>
      <w:r>
        <w:rPr>
          <w:rFonts w:ascii="inherit" w:hAnsi="inherit"/>
          <w:b/>
          <w:bCs/>
          <w:color w:val="404040"/>
        </w:rPr>
        <w:t>Husch</w:t>
      </w:r>
      <w:proofErr w:type="spellEnd"/>
      <w:r>
        <w:rPr>
          <w:rFonts w:ascii="inherit" w:hAnsi="inherit"/>
          <w:b/>
          <w:bCs/>
          <w:color w:val="404040"/>
        </w:rPr>
        <w:t xml:space="preserve"> Blackwell’s Postal Service Contracting Team</w:t>
      </w:r>
    </w:p>
    <w:p w:rsidR="00B17106" w:rsidRDefault="00B17106" w:rsidP="00B17106">
      <w:pPr>
        <w:pStyle w:val="NormalWeb"/>
        <w:shd w:val="clear" w:color="auto" w:fill="FFFFFF"/>
        <w:spacing w:before="0" w:beforeAutospacing="0" w:after="0" w:afterAutospacing="0"/>
        <w:textAlignment w:val="baseline"/>
      </w:pPr>
      <w:proofErr w:type="spellStart"/>
      <w:r>
        <w:rPr>
          <w:rFonts w:ascii="inherit" w:hAnsi="inherit"/>
          <w:color w:val="404040"/>
          <w:bdr w:val="none" w:sz="0" w:space="0" w:color="auto" w:frame="1"/>
        </w:rPr>
        <w:t>Husch</w:t>
      </w:r>
      <w:proofErr w:type="spellEnd"/>
      <w:r>
        <w:rPr>
          <w:rFonts w:ascii="inherit" w:hAnsi="inherit"/>
          <w:color w:val="404040"/>
          <w:bdr w:val="none" w:sz="0" w:space="0" w:color="auto" w:frame="1"/>
        </w:rPr>
        <w:t xml:space="preserve"> Blackwell’s Postal Service Contracting team assists clients in contracting with the U.S. Postal Service, and its members are knowledgeable regarding the needs specific to the postal industry. The team has compiled annual reports on the top U.S. Postal Service suppliers since </w:t>
      </w:r>
      <w:r>
        <w:rPr>
          <w:rFonts w:ascii="inherit" w:hAnsi="inherit"/>
          <w:color w:val="404040"/>
          <w:bdr w:val="none" w:sz="0" w:space="0" w:color="auto" w:frame="1"/>
        </w:rPr>
        <w:lastRenderedPageBreak/>
        <w:t>1999, developed and presented dozens of seminars on Postal Service contracting to thousands of attendees, and written the definitive treatise on successfully doing business with the USPS. </w:t>
      </w:r>
      <w:hyperlink r:id="rId13" w:tgtFrame="_blank" w:history="1">
        <w:r>
          <w:rPr>
            <w:rStyle w:val="Hyperlink"/>
            <w:rFonts w:ascii="inherit" w:hAnsi="inherit"/>
            <w:color w:val="0F53A4"/>
            <w:bdr w:val="none" w:sz="0" w:space="0" w:color="auto" w:frame="1"/>
          </w:rPr>
          <w:t>Previous lists of the Top 150 postal suppliers.</w:t>
        </w:r>
      </w:hyperlink>
    </w:p>
    <w:p w:rsidR="00B17106" w:rsidRDefault="00B17106" w:rsidP="00B17106">
      <w:pPr>
        <w:pStyle w:val="yiv8622241557msonormal"/>
      </w:pPr>
      <w:r>
        <w:t> </w:t>
      </w:r>
    </w:p>
    <w:p w:rsidR="00B17106" w:rsidRDefault="00B17106" w:rsidP="00B17106">
      <w:pPr>
        <w:pStyle w:val="yiv8622241557msonormal"/>
      </w:pPr>
      <w:r>
        <w:t> </w:t>
      </w:r>
    </w:p>
    <w:p w:rsidR="00B17106" w:rsidRDefault="00B17106" w:rsidP="00B17106">
      <w:pPr>
        <w:pStyle w:val="yiv8622241557msonormal"/>
      </w:pPr>
      <w:r>
        <w:t>Thank You</w:t>
      </w:r>
    </w:p>
    <w:p w:rsidR="00B17106" w:rsidRDefault="00B17106" w:rsidP="00B17106">
      <w:pPr>
        <w:pStyle w:val="yiv8622241557msonormal"/>
      </w:pPr>
      <w:r>
        <w:rPr>
          <w:rFonts w:ascii="Brush Script MT" w:hAnsi="Brush Script MT"/>
        </w:rPr>
        <w:t> </w:t>
      </w:r>
    </w:p>
    <w:p w:rsidR="00B17106" w:rsidRDefault="00B17106" w:rsidP="00B17106">
      <w:pPr>
        <w:pStyle w:val="yiv8622241557msonormal"/>
      </w:pPr>
      <w:r>
        <w:rPr>
          <w:rFonts w:ascii="Brush Script MT" w:hAnsi="Brush Script MT"/>
        </w:rPr>
        <w:t>Tony Dallojacono</w:t>
      </w:r>
    </w:p>
    <w:p w:rsidR="00B17106" w:rsidRDefault="00B17106" w:rsidP="00B17106">
      <w:pPr>
        <w:pStyle w:val="yiv8622241557msonormal"/>
      </w:pPr>
      <w:r>
        <w:t>Tony Dallojacono</w:t>
      </w:r>
    </w:p>
    <w:p w:rsidR="00B17106" w:rsidRDefault="00B17106" w:rsidP="00B17106">
      <w:pPr>
        <w:pStyle w:val="yiv8622241557msonormal"/>
      </w:pPr>
      <w:r>
        <w:t>NAPS Mideast Area VP</w:t>
      </w:r>
    </w:p>
    <w:p w:rsidR="00B17106" w:rsidRDefault="00B17106" w:rsidP="00B17106">
      <w:pPr>
        <w:pStyle w:val="yiv8622241557msonormal"/>
      </w:pPr>
      <w:proofErr w:type="gramStart"/>
      <w:r>
        <w:rPr>
          <w:i/>
          <w:iCs/>
          <w:sz w:val="16"/>
          <w:szCs w:val="16"/>
        </w:rPr>
        <w:t>Work :</w:t>
      </w:r>
      <w:proofErr w:type="gramEnd"/>
      <w:r>
        <w:rPr>
          <w:i/>
          <w:iCs/>
          <w:sz w:val="16"/>
          <w:szCs w:val="16"/>
        </w:rPr>
        <w:t xml:space="preserve"> 732-363-1273</w:t>
      </w:r>
    </w:p>
    <w:p w:rsidR="00B17106" w:rsidRDefault="00B17106" w:rsidP="00B17106">
      <w:pPr>
        <w:pStyle w:val="yiv8622241557msonormal"/>
      </w:pPr>
      <w:r>
        <w:rPr>
          <w:i/>
          <w:iCs/>
          <w:sz w:val="16"/>
          <w:szCs w:val="16"/>
        </w:rPr>
        <w:t>Cell: 973-986-6402</w:t>
      </w:r>
    </w:p>
    <w:p w:rsidR="00C374B9" w:rsidRDefault="00C374B9">
      <w:bookmarkStart w:id="0" w:name="_GoBack"/>
      <w:bookmarkEnd w:id="0"/>
    </w:p>
    <w:sectPr w:rsidR="00C37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06"/>
    <w:rsid w:val="00B17106"/>
    <w:rsid w:val="00C374B9"/>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3E13A-EE87-44DA-93F1-5D2AB4C2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106"/>
    <w:rPr>
      <w:rFonts w:ascii="Times New Roman" w:hAnsi="Times New Roman" w:cs="Times New Roman"/>
      <w:sz w:val="24"/>
      <w:szCs w:val="24"/>
    </w:rPr>
  </w:style>
  <w:style w:type="paragraph" w:styleId="Heading1">
    <w:name w:val="heading 1"/>
    <w:basedOn w:val="Normal"/>
    <w:link w:val="Heading1Char"/>
    <w:uiPriority w:val="9"/>
    <w:qFormat/>
    <w:rsid w:val="00B17106"/>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10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17106"/>
    <w:rPr>
      <w:color w:val="0000FF"/>
      <w:u w:val="single"/>
    </w:rPr>
  </w:style>
  <w:style w:type="paragraph" w:styleId="NormalWeb">
    <w:name w:val="Normal (Web)"/>
    <w:basedOn w:val="Normal"/>
    <w:uiPriority w:val="99"/>
    <w:semiHidden/>
    <w:unhideWhenUsed/>
    <w:rsid w:val="00B17106"/>
    <w:pPr>
      <w:spacing w:before="100" w:beforeAutospacing="1" w:after="100" w:afterAutospacing="1"/>
    </w:pPr>
  </w:style>
  <w:style w:type="paragraph" w:customStyle="1" w:styleId="yiv8622241557msonormal">
    <w:name w:val="yiv8622241557msonormal"/>
    <w:basedOn w:val="Normal"/>
    <w:uiPriority w:val="99"/>
    <w:semiHidden/>
    <w:rsid w:val="00B17106"/>
    <w:pPr>
      <w:spacing w:before="100" w:beforeAutospacing="1" w:after="100" w:afterAutospacing="1"/>
    </w:pPr>
  </w:style>
  <w:style w:type="character" w:customStyle="1" w:styleId="yiv8622241557cat-links">
    <w:name w:val="yiv8622241557cat-links"/>
    <w:basedOn w:val="DefaultParagraphFont"/>
    <w:rsid w:val="00B17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39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schblackwell.com/professionals/david-hendel" TargetMode="External"/><Relationship Id="rId13" Type="http://schemas.openxmlformats.org/officeDocument/2006/relationships/hyperlink" Target="http://www.huschblackwell.com/businessinsights/top-us-postal-service-suppliers-lists" TargetMode="External"/><Relationship Id="rId3" Type="http://schemas.openxmlformats.org/officeDocument/2006/relationships/webSettings" Target="webSettings.xml"/><Relationship Id="rId7" Type="http://schemas.openxmlformats.org/officeDocument/2006/relationships/hyperlink" Target="http://www.huschblackwell.com/businessinsights/top-us-postal-service-suppliers-lists" TargetMode="External"/><Relationship Id="rId12" Type="http://schemas.openxmlformats.org/officeDocument/2006/relationships/hyperlink" Target="https://www.huschblackwell.com/postal-service-contrac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stalnews.com/blog/2019/02/14/fedex-billed-usps-a-record-2-billion-in-2018-according-to-annual-supplier-ranking/" TargetMode="External"/><Relationship Id="rId11" Type="http://schemas.openxmlformats.org/officeDocument/2006/relationships/hyperlink" Target="https://www.huschblackwell.com/industries_services/transportation" TargetMode="External"/><Relationship Id="rId5" Type="http://schemas.openxmlformats.org/officeDocument/2006/relationships/image" Target="cid:cpsqkInlNZPDuo7jj4DO" TargetMode="External"/><Relationship Id="rId15" Type="http://schemas.openxmlformats.org/officeDocument/2006/relationships/theme" Target="theme/theme1.xml"/><Relationship Id="rId10" Type="http://schemas.openxmlformats.org/officeDocument/2006/relationships/hyperlink" Target="https://www.huschblackwell.com/industries_services/Manufacturing" TargetMode="External"/><Relationship Id="rId4" Type="http://schemas.openxmlformats.org/officeDocument/2006/relationships/image" Target="media/image1.png"/><Relationship Id="rId9" Type="http://schemas.openxmlformats.org/officeDocument/2006/relationships/hyperlink" Target="https://www.huschblackwell.com/industries_services/technolog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2019-02-20T13:20:00Z</dcterms:created>
  <dcterms:modified xsi:type="dcterms:W3CDTF">2019-02-20T13:21:00Z</dcterms:modified>
</cp:coreProperties>
</file>