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F16" w:rsidRDefault="00B11F16" w:rsidP="00B11F16">
      <w:pPr>
        <w:pStyle w:val="Heading1"/>
        <w:shd w:val="clear" w:color="auto" w:fill="F7F7F7"/>
        <w:spacing w:before="0" w:beforeAutospacing="0"/>
        <w:rPr>
          <w:rFonts w:eastAsiaTheme="minorHAnsi"/>
        </w:rPr>
      </w:pPr>
      <w:r>
        <w:rPr>
          <w:rFonts w:ascii="Segoe UI" w:eastAsiaTheme="minorHAnsi" w:hAnsi="Segoe UI" w:cs="Segoe UI"/>
          <w:b w:val="0"/>
          <w:bCs w:val="0"/>
          <w:color w:val="101820"/>
        </w:rPr>
        <w:t>U.S. Postal Service Reports Second Quarter Fiscal 2019 Results</w:t>
      </w:r>
    </w:p>
    <w:p w:rsidR="00B11F16" w:rsidRDefault="00B11F16" w:rsidP="00B11F16">
      <w:pPr>
        <w:numPr>
          <w:ilvl w:val="0"/>
          <w:numId w:val="1"/>
        </w:numPr>
        <w:shd w:val="clear" w:color="auto" w:fill="F7F7F7"/>
        <w:spacing w:before="100" w:beforeAutospacing="1" w:after="100" w:afterAutospacing="1"/>
        <w:rPr>
          <w:color w:val="101820"/>
        </w:rPr>
      </w:pPr>
      <w:r>
        <w:rPr>
          <w:rStyle w:val="Emphasis"/>
          <w:rFonts w:ascii="Segoe UI" w:hAnsi="Segoe UI" w:cs="Segoe UI"/>
          <w:color w:val="101820"/>
          <w:sz w:val="21"/>
          <w:szCs w:val="21"/>
        </w:rPr>
        <w:t>Revenue of $17.5 billion, essentially unchanged compared to same quarter last year</w:t>
      </w:r>
    </w:p>
    <w:p w:rsidR="00B11F16" w:rsidRDefault="00B11F16" w:rsidP="00B11F16">
      <w:pPr>
        <w:numPr>
          <w:ilvl w:val="0"/>
          <w:numId w:val="1"/>
        </w:numPr>
        <w:shd w:val="clear" w:color="auto" w:fill="F7F7F7"/>
        <w:spacing w:before="100" w:beforeAutospacing="1" w:after="100" w:afterAutospacing="1"/>
        <w:rPr>
          <w:color w:val="101820"/>
        </w:rPr>
      </w:pPr>
      <w:r>
        <w:rPr>
          <w:rStyle w:val="Emphasis"/>
          <w:rFonts w:ascii="Segoe UI" w:hAnsi="Segoe UI" w:cs="Segoe UI"/>
          <w:color w:val="101820"/>
          <w:sz w:val="21"/>
          <w:szCs w:val="21"/>
        </w:rPr>
        <w:t>Net loss of $2.1 billion</w:t>
      </w:r>
    </w:p>
    <w:p w:rsidR="00B11F16" w:rsidRDefault="00B11F16" w:rsidP="00B11F16">
      <w:pPr>
        <w:numPr>
          <w:ilvl w:val="0"/>
          <w:numId w:val="1"/>
        </w:numPr>
        <w:shd w:val="clear" w:color="auto" w:fill="F7F7F7"/>
        <w:spacing w:before="100" w:beforeAutospacing="1" w:after="100" w:afterAutospacing="1"/>
        <w:rPr>
          <w:color w:val="101820"/>
        </w:rPr>
      </w:pPr>
      <w:r>
        <w:rPr>
          <w:rStyle w:val="Emphasis"/>
          <w:rFonts w:ascii="Segoe UI" w:hAnsi="Segoe UI" w:cs="Segoe UI"/>
          <w:color w:val="101820"/>
          <w:sz w:val="21"/>
          <w:szCs w:val="21"/>
        </w:rPr>
        <w:t>USPS remains focused on aggressive management actions and legislative and regulatory reforms to provide Americans with a financially sustainable Postal Service</w:t>
      </w:r>
    </w:p>
    <w:p w:rsidR="00B11F16" w:rsidRDefault="00B11F16" w:rsidP="00B11F16">
      <w:pPr>
        <w:pStyle w:val="NormalWeb"/>
        <w:shd w:val="clear" w:color="auto" w:fill="F7F7F7"/>
      </w:pPr>
      <w:r>
        <w:rPr>
          <w:rStyle w:val="Strong"/>
          <w:rFonts w:ascii="Segoe UI" w:hAnsi="Segoe UI" w:cs="Segoe UI"/>
          <w:color w:val="101820"/>
          <w:sz w:val="21"/>
          <w:szCs w:val="21"/>
        </w:rPr>
        <w:t>WASHINGTON</w:t>
      </w:r>
      <w:r>
        <w:rPr>
          <w:rFonts w:ascii="Segoe UI" w:hAnsi="Segoe UI" w:cs="Segoe UI"/>
          <w:color w:val="101820"/>
          <w:sz w:val="21"/>
          <w:szCs w:val="21"/>
        </w:rPr>
        <w:t> - The U.S. Postal Service reported total revenue of $17.5 billion for the second quarter of fiscal 2019 (January 1, 2019 - March 31, 2019), a decrease of $8 million, or essentially flat, compared to the same quarter last year.</w:t>
      </w:r>
    </w:p>
    <w:p w:rsidR="00B11F16" w:rsidRDefault="00B11F16" w:rsidP="00B11F16">
      <w:pPr>
        <w:pStyle w:val="NormalWeb"/>
        <w:shd w:val="clear" w:color="auto" w:fill="F7F7F7"/>
      </w:pPr>
      <w:r>
        <w:rPr>
          <w:rFonts w:ascii="Segoe UI" w:hAnsi="Segoe UI" w:cs="Segoe UI"/>
          <w:color w:val="101820"/>
          <w:sz w:val="21"/>
          <w:szCs w:val="21"/>
        </w:rPr>
        <w:t>First-Class Mail revenue declined by $217 million, or 3.3 percent, on a volume decline of 576 million pieces, or 3.9 percent, compared to the same quarter last year. Marketing Mail revenue declined by $155 million, or 3.9 percent, on a volume decline of 959 million pieces, or 5.2 percent, compared to the same quarter last year. Meanwhile, Shipping and Packages revenue increased by $253 million, or 4.9 percent, on volume growth of 5 million pieces, or 0.3 percent, compared to the same quarter last year.</w:t>
      </w:r>
    </w:p>
    <w:p w:rsidR="00B11F16" w:rsidRDefault="00B11F16" w:rsidP="00B11F16">
      <w:pPr>
        <w:pStyle w:val="NormalWeb"/>
        <w:shd w:val="clear" w:color="auto" w:fill="F7F7F7"/>
      </w:pPr>
      <w:r>
        <w:rPr>
          <w:rFonts w:ascii="Segoe UI" w:hAnsi="Segoe UI" w:cs="Segoe UI"/>
          <w:color w:val="101820"/>
          <w:sz w:val="21"/>
          <w:szCs w:val="21"/>
        </w:rPr>
        <w:t>Total operating expenses were $19.6 billion for the quarter, an increase of $751 million, or 4.0 percent, compared to the same quarter last year. Excluding costs impacted by actuarial revaluation, discount rate changes, and amortization of unfunded liabilities, which are outside of management's control, expenses increased by $154 million, or 0.8 percent, compared to the same quarter last year.</w:t>
      </w:r>
    </w:p>
    <w:p w:rsidR="00B11F16" w:rsidRDefault="00B11F16" w:rsidP="00B11F16">
      <w:pPr>
        <w:pStyle w:val="NormalWeb"/>
        <w:shd w:val="clear" w:color="auto" w:fill="F7F7F7"/>
      </w:pPr>
      <w:r>
        <w:rPr>
          <w:rFonts w:ascii="Segoe UI" w:hAnsi="Segoe UI" w:cs="Segoe UI"/>
          <w:color w:val="101820"/>
          <w:sz w:val="21"/>
          <w:szCs w:val="21"/>
        </w:rPr>
        <w:t>“The Postal Service continues to pursue aggressive management actions and to seek legislative and regulatory reforms to address our overall cost structure and enhance revenue-generating opportunities,” said Postmaster General and CEO Megan J. Brennan. “Our focus remains on meeting the expectations of the American public, continuing to invest in the future of the organization, and continually delivering innovations and increased value for both the senders and receivers of mail and packages.”</w:t>
      </w:r>
    </w:p>
    <w:p w:rsidR="00B11F16" w:rsidRDefault="00B11F16" w:rsidP="00B11F16">
      <w:pPr>
        <w:pStyle w:val="NormalWeb"/>
        <w:shd w:val="clear" w:color="auto" w:fill="F7F7F7"/>
      </w:pPr>
      <w:r>
        <w:rPr>
          <w:rFonts w:ascii="Segoe UI" w:hAnsi="Segoe UI" w:cs="Segoe UI"/>
          <w:color w:val="101820"/>
          <w:sz w:val="21"/>
          <w:szCs w:val="21"/>
        </w:rPr>
        <w:t>The net loss for the quarter totaled nearly $2.1 billion, an increase of $747 million, compared to a net loss of $1.3 billion for the same quarter last year, however, the controllable loss for the quarter was $806 million, compared to a controllable loss of $656 million for the same quarter last year.</w:t>
      </w:r>
    </w:p>
    <w:p w:rsidR="00B11F16" w:rsidRDefault="00B11F16" w:rsidP="00B11F16">
      <w:pPr>
        <w:pStyle w:val="NormalWeb"/>
        <w:shd w:val="clear" w:color="auto" w:fill="F7F7F7"/>
      </w:pPr>
      <w:r>
        <w:rPr>
          <w:rFonts w:ascii="Segoe UI" w:hAnsi="Segoe UI" w:cs="Segoe UI"/>
          <w:color w:val="101820"/>
          <w:sz w:val="21"/>
          <w:szCs w:val="21"/>
        </w:rPr>
        <w:t>“We continue to face challenges from the ongoing migration of mail to electronic alternatives, and we are legally limited under current law in how we can price our products and streamline our legacy costs," said Chief Financial Officer and Executive Vice President Joseph Corbett. “Within the framework of our current business model, we are executing to grow revenue and reduce operating expenses.”</w:t>
      </w:r>
    </w:p>
    <w:p w:rsidR="00B11F16" w:rsidRDefault="00B11F16" w:rsidP="00B11F16">
      <w:pPr>
        <w:pStyle w:val="NormalWeb"/>
        <w:shd w:val="clear" w:color="auto" w:fill="F7F7F7"/>
      </w:pPr>
      <w:r>
        <w:rPr>
          <w:rStyle w:val="Strong"/>
          <w:rFonts w:ascii="Segoe UI" w:hAnsi="Segoe UI" w:cs="Segoe UI"/>
          <w:color w:val="101820"/>
          <w:sz w:val="21"/>
          <w:szCs w:val="21"/>
        </w:rPr>
        <w:t>Second Quarter Fiscal 2019 Operating Revenue and Volume by Service Category Compared to Prior Year</w:t>
      </w:r>
      <w:r>
        <w:rPr>
          <w:rFonts w:ascii="Segoe UI" w:hAnsi="Segoe UI" w:cs="Segoe UI"/>
          <w:color w:val="101820"/>
          <w:sz w:val="21"/>
          <w:szCs w:val="21"/>
        </w:rPr>
        <w:br/>
      </w:r>
      <w:r>
        <w:rPr>
          <w:rFonts w:ascii="Segoe UI" w:hAnsi="Segoe UI" w:cs="Segoe UI"/>
          <w:color w:val="101820"/>
          <w:sz w:val="21"/>
          <w:szCs w:val="21"/>
        </w:rPr>
        <w:lastRenderedPageBreak/>
        <w:t>The following table presents revenue and volume by category for the three months ended March 31, 2019, and 2018:</w:t>
      </w:r>
    </w:p>
    <w:tbl>
      <w:tblPr>
        <w:tblW w:w="5000" w:type="pct"/>
        <w:tblCellMar>
          <w:left w:w="0" w:type="dxa"/>
          <w:right w:w="0" w:type="dxa"/>
        </w:tblCellMar>
        <w:tblLook w:val="04A0" w:firstRow="1" w:lastRow="0" w:firstColumn="1" w:lastColumn="0" w:noHBand="0" w:noVBand="1"/>
      </w:tblPr>
      <w:tblGrid>
        <w:gridCol w:w="73"/>
        <w:gridCol w:w="3881"/>
        <w:gridCol w:w="122"/>
        <w:gridCol w:w="1088"/>
        <w:gridCol w:w="73"/>
        <w:gridCol w:w="73"/>
        <w:gridCol w:w="122"/>
        <w:gridCol w:w="1089"/>
        <w:gridCol w:w="73"/>
        <w:gridCol w:w="73"/>
        <w:gridCol w:w="1190"/>
        <w:gridCol w:w="73"/>
        <w:gridCol w:w="73"/>
        <w:gridCol w:w="1190"/>
        <w:gridCol w:w="73"/>
        <w:gridCol w:w="74"/>
      </w:tblGrid>
      <w:tr w:rsidR="00B11F16" w:rsidTr="00B11F16">
        <w:tc>
          <w:tcPr>
            <w:tcW w:w="75" w:type="dxa"/>
            <w:tcBorders>
              <w:top w:val="single" w:sz="8" w:space="0" w:color="333333"/>
              <w:left w:val="single" w:sz="8" w:space="0" w:color="333333"/>
              <w:bottom w:val="nil"/>
              <w:right w:val="nil"/>
            </w:tcBorders>
            <w:vAlign w:val="bottom"/>
            <w:hideMark/>
          </w:tcPr>
          <w:p w:rsidR="00B11F16" w:rsidRDefault="00B11F16">
            <w:pPr>
              <w:pStyle w:val="yiv7535168498msonormal"/>
            </w:pPr>
            <w:r>
              <w:t> </w:t>
            </w:r>
          </w:p>
        </w:tc>
        <w:tc>
          <w:tcPr>
            <w:tcW w:w="4395" w:type="dxa"/>
            <w:tcBorders>
              <w:top w:val="single" w:sz="8" w:space="0" w:color="333333"/>
              <w:left w:val="nil"/>
              <w:bottom w:val="nil"/>
              <w:right w:val="nil"/>
            </w:tcBorders>
            <w:vAlign w:val="bottom"/>
            <w:hideMark/>
          </w:tcPr>
          <w:p w:rsidR="00B11F16" w:rsidRDefault="00B11F16">
            <w:pPr>
              <w:pStyle w:val="yiv7535168498msonormal"/>
            </w:pPr>
            <w:r>
              <w:t> </w:t>
            </w:r>
          </w:p>
        </w:tc>
        <w:tc>
          <w:tcPr>
            <w:tcW w:w="6" w:type="dxa"/>
            <w:gridSpan w:val="7"/>
            <w:tcBorders>
              <w:top w:val="single" w:sz="8" w:space="0" w:color="333333"/>
              <w:left w:val="nil"/>
              <w:bottom w:val="nil"/>
              <w:right w:val="nil"/>
            </w:tcBorders>
            <w:vAlign w:val="bottom"/>
            <w:hideMark/>
          </w:tcPr>
          <w:p w:rsidR="00B11F16" w:rsidRDefault="00B11F16">
            <w:pPr>
              <w:pStyle w:val="NormalWeb"/>
              <w:jc w:val="center"/>
            </w:pPr>
            <w:r>
              <w:rPr>
                <w:rStyle w:val="Strong"/>
                <w:rFonts w:ascii="Calibri" w:hAnsi="Calibri"/>
              </w:rPr>
              <w:t>Revenue</w:t>
            </w:r>
          </w:p>
        </w:tc>
        <w:tc>
          <w:tcPr>
            <w:tcW w:w="75" w:type="dxa"/>
            <w:tcBorders>
              <w:top w:val="single" w:sz="8" w:space="0" w:color="333333"/>
              <w:left w:val="nil"/>
              <w:bottom w:val="nil"/>
              <w:right w:val="nil"/>
            </w:tcBorders>
            <w:vAlign w:val="bottom"/>
            <w:hideMark/>
          </w:tcPr>
          <w:p w:rsidR="00B11F16" w:rsidRDefault="00B11F16">
            <w:pPr>
              <w:pStyle w:val="yiv7535168498msonormal"/>
            </w:pPr>
            <w:r>
              <w:t> </w:t>
            </w:r>
          </w:p>
        </w:tc>
        <w:tc>
          <w:tcPr>
            <w:tcW w:w="2640" w:type="dxa"/>
            <w:gridSpan w:val="5"/>
            <w:tcBorders>
              <w:top w:val="single" w:sz="8" w:space="0" w:color="333333"/>
              <w:left w:val="nil"/>
              <w:bottom w:val="nil"/>
              <w:right w:val="nil"/>
            </w:tcBorders>
            <w:vAlign w:val="bottom"/>
            <w:hideMark/>
          </w:tcPr>
          <w:p w:rsidR="00B11F16" w:rsidRDefault="00B11F16">
            <w:pPr>
              <w:pStyle w:val="NormalWeb"/>
              <w:jc w:val="center"/>
            </w:pPr>
            <w:r>
              <w:rPr>
                <w:rStyle w:val="Strong"/>
                <w:rFonts w:ascii="Calibri" w:hAnsi="Calibri"/>
              </w:rPr>
              <w:t>Volume</w:t>
            </w:r>
          </w:p>
        </w:tc>
        <w:tc>
          <w:tcPr>
            <w:tcW w:w="75" w:type="dxa"/>
            <w:tcBorders>
              <w:top w:val="single" w:sz="8" w:space="0" w:color="333333"/>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4395" w:type="dxa"/>
            <w:vAlign w:val="bottom"/>
            <w:hideMark/>
          </w:tcPr>
          <w:p w:rsidR="00B11F16" w:rsidRDefault="00B11F16">
            <w:pPr>
              <w:pStyle w:val="NormalWeb"/>
            </w:pPr>
            <w:r>
              <w:rPr>
                <w:rStyle w:val="Emphasis"/>
                <w:rFonts w:ascii="Calibri" w:hAnsi="Calibri"/>
              </w:rPr>
              <w:t>(revenue in $ millions; volume in millions of pieces)</w:t>
            </w:r>
          </w:p>
        </w:tc>
        <w:tc>
          <w:tcPr>
            <w:tcW w:w="6" w:type="dxa"/>
            <w:gridSpan w:val="3"/>
            <w:vAlign w:val="bottom"/>
            <w:hideMark/>
          </w:tcPr>
          <w:p w:rsidR="00B11F16" w:rsidRDefault="00B11F16">
            <w:pPr>
              <w:pStyle w:val="NormalWeb"/>
              <w:jc w:val="center"/>
            </w:pPr>
            <w:r>
              <w:rPr>
                <w:rStyle w:val="Strong"/>
                <w:rFonts w:ascii="Calibri" w:hAnsi="Calibri"/>
              </w:rPr>
              <w:t>2019</w:t>
            </w:r>
          </w:p>
        </w:tc>
        <w:tc>
          <w:tcPr>
            <w:tcW w:w="75" w:type="dxa"/>
            <w:vAlign w:val="bottom"/>
            <w:hideMark/>
          </w:tcPr>
          <w:p w:rsidR="00B11F16" w:rsidRDefault="00B11F16">
            <w:pPr>
              <w:pStyle w:val="yiv7535168498msonormal"/>
            </w:pPr>
            <w:r>
              <w:t> </w:t>
            </w:r>
          </w:p>
        </w:tc>
        <w:tc>
          <w:tcPr>
            <w:tcW w:w="6" w:type="dxa"/>
            <w:gridSpan w:val="3"/>
            <w:vAlign w:val="bottom"/>
            <w:hideMark/>
          </w:tcPr>
          <w:p w:rsidR="00B11F16" w:rsidRDefault="00B11F16">
            <w:pPr>
              <w:pStyle w:val="NormalWeb"/>
              <w:jc w:val="center"/>
            </w:pPr>
            <w:r>
              <w:rPr>
                <w:rStyle w:val="Strong"/>
                <w:rFonts w:ascii="Calibri" w:hAnsi="Calibri"/>
              </w:rPr>
              <w:t>2018</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NormalWeb"/>
              <w:jc w:val="center"/>
            </w:pPr>
            <w:r>
              <w:rPr>
                <w:rStyle w:val="Strong"/>
                <w:rFonts w:ascii="Calibri" w:hAnsi="Calibri"/>
              </w:rPr>
              <w:t>2019</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NormalWeb"/>
              <w:jc w:val="center"/>
            </w:pPr>
            <w:r>
              <w:rPr>
                <w:rStyle w:val="Strong"/>
                <w:rFonts w:ascii="Calibri" w:hAnsi="Calibri"/>
              </w:rPr>
              <w:t>2018</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4395" w:type="dxa"/>
            <w:vAlign w:val="bottom"/>
            <w:hideMark/>
          </w:tcPr>
          <w:p w:rsidR="00B11F16" w:rsidRDefault="00B11F16">
            <w:pPr>
              <w:pStyle w:val="yiv7535168498msonormal"/>
            </w:pPr>
            <w:r>
              <w:t> </w:t>
            </w:r>
          </w:p>
        </w:tc>
        <w:tc>
          <w:tcPr>
            <w:tcW w:w="6" w:type="dxa"/>
            <w:gridSpan w:val="3"/>
            <w:vAlign w:val="bottom"/>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6" w:type="dxa"/>
            <w:gridSpan w:val="3"/>
            <w:vAlign w:val="bottom"/>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4395" w:type="dxa"/>
            <w:vAlign w:val="bottom"/>
            <w:hideMark/>
          </w:tcPr>
          <w:p w:rsidR="00B11F16" w:rsidRDefault="00B11F16">
            <w:pPr>
              <w:pStyle w:val="NormalWeb"/>
            </w:pPr>
            <w:r>
              <w:rPr>
                <w:rStyle w:val="Strong"/>
                <w:rFonts w:ascii="Calibri" w:hAnsi="Calibri"/>
              </w:rPr>
              <w:t>Service Category</w:t>
            </w:r>
          </w:p>
        </w:tc>
        <w:tc>
          <w:tcPr>
            <w:tcW w:w="6" w:type="dxa"/>
            <w:gridSpan w:val="3"/>
            <w:vAlign w:val="bottom"/>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6" w:type="dxa"/>
            <w:gridSpan w:val="3"/>
            <w:vAlign w:val="bottom"/>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4395" w:type="dxa"/>
            <w:vAlign w:val="bottom"/>
            <w:hideMark/>
          </w:tcPr>
          <w:p w:rsidR="00B11F16" w:rsidRDefault="00B11F16">
            <w:pPr>
              <w:pStyle w:val="NormalWeb"/>
            </w:pPr>
            <w:r>
              <w:t>First-Class Mail</w:t>
            </w:r>
          </w:p>
        </w:tc>
        <w:tc>
          <w:tcPr>
            <w:tcW w:w="120" w:type="dxa"/>
            <w:vAlign w:val="bottom"/>
            <w:hideMark/>
          </w:tcPr>
          <w:p w:rsidR="00B11F16" w:rsidRDefault="00B11F16">
            <w:pPr>
              <w:pStyle w:val="NormalWeb"/>
            </w:pPr>
            <w:r>
              <w:t>$</w:t>
            </w:r>
          </w:p>
        </w:tc>
        <w:tc>
          <w:tcPr>
            <w:tcW w:w="1155" w:type="dxa"/>
            <w:vAlign w:val="bottom"/>
            <w:hideMark/>
          </w:tcPr>
          <w:p w:rsidR="00B11F16" w:rsidRDefault="00B11F16">
            <w:pPr>
              <w:pStyle w:val="NormalWeb"/>
              <w:jc w:val="right"/>
            </w:pPr>
            <w:r>
              <w:t>6,276</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0" w:type="dxa"/>
            <w:vAlign w:val="bottom"/>
            <w:hideMark/>
          </w:tcPr>
          <w:p w:rsidR="00B11F16" w:rsidRDefault="00B11F16">
            <w:pPr>
              <w:pStyle w:val="NormalWeb"/>
            </w:pPr>
            <w:r>
              <w:t>$</w:t>
            </w:r>
          </w:p>
        </w:tc>
        <w:tc>
          <w:tcPr>
            <w:tcW w:w="1155" w:type="dxa"/>
            <w:vAlign w:val="bottom"/>
            <w:hideMark/>
          </w:tcPr>
          <w:p w:rsidR="00B11F16" w:rsidRDefault="00B11F16">
            <w:pPr>
              <w:pStyle w:val="NormalWeb"/>
              <w:jc w:val="right"/>
            </w:pPr>
            <w:r>
              <w:t>6,493</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14,207</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14,783</w:t>
            </w:r>
          </w:p>
        </w:tc>
        <w:tc>
          <w:tcPr>
            <w:tcW w:w="75" w:type="dxa"/>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4395" w:type="dxa"/>
            <w:vAlign w:val="bottom"/>
            <w:hideMark/>
          </w:tcPr>
          <w:p w:rsidR="00B11F16" w:rsidRDefault="00B11F16">
            <w:pPr>
              <w:pStyle w:val="NormalWeb"/>
            </w:pPr>
            <w:r>
              <w:t>Marketing Mail</w:t>
            </w:r>
          </w:p>
        </w:tc>
        <w:tc>
          <w:tcPr>
            <w:tcW w:w="1290" w:type="dxa"/>
            <w:gridSpan w:val="2"/>
            <w:vAlign w:val="bottom"/>
            <w:hideMark/>
          </w:tcPr>
          <w:p w:rsidR="00B11F16" w:rsidRDefault="00B11F16">
            <w:pPr>
              <w:pStyle w:val="NormalWeb"/>
              <w:jc w:val="right"/>
            </w:pPr>
            <w:r>
              <w:t>3,833</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NormalWeb"/>
              <w:jc w:val="right"/>
            </w:pPr>
            <w:r>
              <w:t>3,988</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17,643</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18,602</w:t>
            </w:r>
          </w:p>
        </w:tc>
        <w:tc>
          <w:tcPr>
            <w:tcW w:w="75" w:type="dxa"/>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4395" w:type="dxa"/>
            <w:vAlign w:val="bottom"/>
            <w:hideMark/>
          </w:tcPr>
          <w:p w:rsidR="00B11F16" w:rsidRDefault="00B11F16">
            <w:pPr>
              <w:pStyle w:val="NormalWeb"/>
            </w:pPr>
            <w:r>
              <w:t>Shipping and Packages</w:t>
            </w:r>
          </w:p>
        </w:tc>
        <w:tc>
          <w:tcPr>
            <w:tcW w:w="1290" w:type="dxa"/>
            <w:gridSpan w:val="2"/>
            <w:vAlign w:val="bottom"/>
            <w:hideMark/>
          </w:tcPr>
          <w:p w:rsidR="00B11F16" w:rsidRDefault="00B11F16">
            <w:pPr>
              <w:pStyle w:val="NormalWeb"/>
              <w:jc w:val="right"/>
            </w:pPr>
            <w:r>
              <w:t>5,441</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NormalWeb"/>
              <w:jc w:val="right"/>
            </w:pPr>
            <w:r>
              <w:t>5,188</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1,470</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1,465</w:t>
            </w:r>
          </w:p>
        </w:tc>
        <w:tc>
          <w:tcPr>
            <w:tcW w:w="75" w:type="dxa"/>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4395" w:type="dxa"/>
            <w:vAlign w:val="bottom"/>
            <w:hideMark/>
          </w:tcPr>
          <w:p w:rsidR="00B11F16" w:rsidRDefault="00B11F16">
            <w:pPr>
              <w:pStyle w:val="NormalWeb"/>
            </w:pPr>
            <w:r>
              <w:t>International</w:t>
            </w:r>
          </w:p>
        </w:tc>
        <w:tc>
          <w:tcPr>
            <w:tcW w:w="1290" w:type="dxa"/>
            <w:gridSpan w:val="2"/>
            <w:vAlign w:val="bottom"/>
            <w:hideMark/>
          </w:tcPr>
          <w:p w:rsidR="00B11F16" w:rsidRDefault="00B11F16">
            <w:pPr>
              <w:pStyle w:val="NormalWeb"/>
              <w:jc w:val="right"/>
            </w:pPr>
            <w:r>
              <w:t>583</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NormalWeb"/>
              <w:jc w:val="right"/>
            </w:pPr>
            <w:r>
              <w:t>662</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205</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243</w:t>
            </w:r>
          </w:p>
        </w:tc>
        <w:tc>
          <w:tcPr>
            <w:tcW w:w="75" w:type="dxa"/>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4395" w:type="dxa"/>
            <w:vAlign w:val="bottom"/>
            <w:hideMark/>
          </w:tcPr>
          <w:p w:rsidR="00B11F16" w:rsidRDefault="00B11F16">
            <w:pPr>
              <w:pStyle w:val="NormalWeb"/>
            </w:pPr>
            <w:r>
              <w:t>Periodicals</w:t>
            </w:r>
          </w:p>
        </w:tc>
        <w:tc>
          <w:tcPr>
            <w:tcW w:w="1290" w:type="dxa"/>
            <w:gridSpan w:val="2"/>
            <w:vAlign w:val="bottom"/>
            <w:hideMark/>
          </w:tcPr>
          <w:p w:rsidR="00B11F16" w:rsidRDefault="00B11F16">
            <w:pPr>
              <w:pStyle w:val="NormalWeb"/>
              <w:jc w:val="right"/>
            </w:pPr>
            <w:r>
              <w:t>298</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NormalWeb"/>
              <w:jc w:val="right"/>
            </w:pPr>
            <w:r>
              <w:t>304</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1,163</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1,185</w:t>
            </w:r>
          </w:p>
        </w:tc>
        <w:tc>
          <w:tcPr>
            <w:tcW w:w="75" w:type="dxa"/>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4395" w:type="dxa"/>
            <w:vAlign w:val="bottom"/>
            <w:hideMark/>
          </w:tcPr>
          <w:p w:rsidR="00B11F16" w:rsidRDefault="00B11F16">
            <w:pPr>
              <w:pStyle w:val="NormalWeb"/>
            </w:pPr>
            <w:r>
              <w:t>Other</w:t>
            </w:r>
          </w:p>
        </w:tc>
        <w:tc>
          <w:tcPr>
            <w:tcW w:w="1290" w:type="dxa"/>
            <w:gridSpan w:val="2"/>
            <w:vAlign w:val="bottom"/>
            <w:hideMark/>
          </w:tcPr>
          <w:p w:rsidR="00B11F16" w:rsidRDefault="00B11F16">
            <w:pPr>
              <w:pStyle w:val="NormalWeb"/>
              <w:jc w:val="right"/>
            </w:pPr>
            <w:r>
              <w:t>1,061</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NormalWeb"/>
              <w:jc w:val="right"/>
            </w:pPr>
            <w:r>
              <w:t>861</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69</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t>70</w:t>
            </w:r>
          </w:p>
        </w:tc>
        <w:tc>
          <w:tcPr>
            <w:tcW w:w="75" w:type="dxa"/>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4395" w:type="dxa"/>
            <w:vAlign w:val="bottom"/>
            <w:hideMark/>
          </w:tcPr>
          <w:p w:rsidR="00B11F16" w:rsidRDefault="00B11F16">
            <w:pPr>
              <w:pStyle w:val="NormalWeb"/>
            </w:pPr>
            <w:r>
              <w:rPr>
                <w:rStyle w:val="Strong"/>
                <w:rFonts w:ascii="Calibri" w:hAnsi="Calibri"/>
              </w:rPr>
              <w:t>Total operating revenue and volume</w:t>
            </w:r>
          </w:p>
        </w:tc>
        <w:tc>
          <w:tcPr>
            <w:tcW w:w="120" w:type="dxa"/>
            <w:vAlign w:val="bottom"/>
            <w:hideMark/>
          </w:tcPr>
          <w:p w:rsidR="00B11F16" w:rsidRDefault="00B11F16">
            <w:pPr>
              <w:pStyle w:val="NormalWeb"/>
            </w:pPr>
            <w:r>
              <w:rPr>
                <w:rStyle w:val="Strong"/>
                <w:rFonts w:ascii="Calibri" w:hAnsi="Calibri"/>
              </w:rPr>
              <w:t>$</w:t>
            </w:r>
          </w:p>
        </w:tc>
        <w:tc>
          <w:tcPr>
            <w:tcW w:w="1155" w:type="dxa"/>
            <w:vAlign w:val="bottom"/>
            <w:hideMark/>
          </w:tcPr>
          <w:p w:rsidR="00B11F16" w:rsidRDefault="00B11F16">
            <w:pPr>
              <w:pStyle w:val="NormalWeb"/>
              <w:jc w:val="right"/>
            </w:pPr>
            <w:r>
              <w:rPr>
                <w:rStyle w:val="Strong"/>
                <w:rFonts w:ascii="Calibri" w:hAnsi="Calibri"/>
              </w:rPr>
              <w:t>17,492</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0" w:type="dxa"/>
            <w:vAlign w:val="bottom"/>
            <w:hideMark/>
          </w:tcPr>
          <w:p w:rsidR="00B11F16" w:rsidRDefault="00B11F16">
            <w:pPr>
              <w:pStyle w:val="NormalWeb"/>
            </w:pPr>
            <w:r>
              <w:rPr>
                <w:rStyle w:val="Strong"/>
                <w:rFonts w:ascii="Calibri" w:hAnsi="Calibri"/>
              </w:rPr>
              <w:t>$</w:t>
            </w:r>
          </w:p>
        </w:tc>
        <w:tc>
          <w:tcPr>
            <w:tcW w:w="1155" w:type="dxa"/>
            <w:vAlign w:val="bottom"/>
            <w:hideMark/>
          </w:tcPr>
          <w:p w:rsidR="00B11F16" w:rsidRDefault="00B11F16">
            <w:pPr>
              <w:pStyle w:val="NormalWeb"/>
              <w:jc w:val="right"/>
            </w:pPr>
            <w:r>
              <w:rPr>
                <w:rStyle w:val="Strong"/>
                <w:rFonts w:ascii="Calibri" w:hAnsi="Calibri"/>
              </w:rPr>
              <w:t>17,496</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rPr>
                <w:rStyle w:val="Strong"/>
                <w:rFonts w:ascii="Calibri" w:hAnsi="Calibri"/>
              </w:rPr>
              <w:t>34,757</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jc w:val="right"/>
            </w:pPr>
            <w:r>
              <w:rPr>
                <w:rStyle w:val="Strong"/>
                <w:rFonts w:ascii="Calibri" w:hAnsi="Calibri"/>
              </w:rPr>
              <w:t>36,348</w:t>
            </w:r>
          </w:p>
        </w:tc>
        <w:tc>
          <w:tcPr>
            <w:tcW w:w="75" w:type="dxa"/>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0" w:type="auto"/>
            <w:gridSpan w:val="16"/>
            <w:tcBorders>
              <w:top w:val="nil"/>
              <w:left w:val="single" w:sz="8" w:space="0" w:color="333333"/>
              <w:bottom w:val="single" w:sz="8" w:space="0" w:color="333333"/>
              <w:right w:val="single" w:sz="8" w:space="0" w:color="333333"/>
            </w:tcBorders>
            <w:vAlign w:val="center"/>
            <w:hideMark/>
          </w:tcPr>
          <w:p w:rsidR="00B11F16" w:rsidRDefault="00B11F16">
            <w:pPr>
              <w:pStyle w:val="yiv7535168498msonormal"/>
            </w:pPr>
            <w:r>
              <w:t> </w:t>
            </w:r>
          </w:p>
        </w:tc>
      </w:tr>
    </w:tbl>
    <w:p w:rsidR="00B11F16" w:rsidRDefault="00B11F16" w:rsidP="00B11F16">
      <w:pPr>
        <w:pStyle w:val="yiv7535168498msonormal"/>
        <w:spacing w:after="240" w:afterAutospacing="0"/>
      </w:pPr>
      <w:r>
        <w:t> </w:t>
      </w:r>
    </w:p>
    <w:p w:rsidR="00B11F16" w:rsidRDefault="00B11F16" w:rsidP="00B11F16">
      <w:pPr>
        <w:pStyle w:val="NormalWeb"/>
        <w:shd w:val="clear" w:color="auto" w:fill="F7F7F7"/>
      </w:pPr>
      <w:r>
        <w:rPr>
          <w:rStyle w:val="Strong"/>
          <w:rFonts w:ascii="Segoe UI" w:hAnsi="Segoe UI" w:cs="Segoe UI"/>
          <w:color w:val="101820"/>
          <w:sz w:val="21"/>
          <w:szCs w:val="21"/>
        </w:rPr>
        <w:t>Selected Second Quarter Fiscal 2019 Results of Operations and Controllable Loss</w:t>
      </w:r>
      <w:r>
        <w:rPr>
          <w:rFonts w:ascii="Segoe UI" w:hAnsi="Segoe UI" w:cs="Segoe UI"/>
          <w:color w:val="101820"/>
          <w:sz w:val="21"/>
          <w:szCs w:val="21"/>
        </w:rPr>
        <w:br/>
        <w:t>This news release references </w:t>
      </w:r>
      <w:r>
        <w:rPr>
          <w:rStyle w:val="Emphasis"/>
          <w:rFonts w:ascii="Segoe UI" w:hAnsi="Segoe UI" w:cs="Segoe UI"/>
          <w:color w:val="101820"/>
          <w:sz w:val="21"/>
          <w:szCs w:val="21"/>
        </w:rPr>
        <w:t>controllable loss</w:t>
      </w:r>
      <w:r>
        <w:rPr>
          <w:rFonts w:ascii="Segoe UI" w:hAnsi="Segoe UI" w:cs="Segoe UI"/>
          <w:color w:val="101820"/>
          <w:sz w:val="21"/>
          <w:szCs w:val="21"/>
        </w:rPr>
        <w:t>, which is not calculated and presented in accordance with accounting principles generally accepted in the United States (GAAP). Controllable loss is defined as net loss adjusted for items outside of management’s control and non-recurring items. These adjustments include workers’ compensation expenses caused by actuarial revaluation and discount rate changes, and the amortization of Postal Service Retiree Health Benefits Fund (PSRHBF), Civil Service Retirement System (CSRS) and Federal Employee Retirement System (FERS) unfunded liabilities</w:t>
      </w:r>
    </w:p>
    <w:p w:rsidR="00B11F16" w:rsidRDefault="00B11F16" w:rsidP="00B11F16">
      <w:pPr>
        <w:pStyle w:val="NormalWeb"/>
        <w:shd w:val="clear" w:color="auto" w:fill="F7F7F7"/>
      </w:pPr>
      <w:r>
        <w:rPr>
          <w:rFonts w:ascii="Segoe UI" w:hAnsi="Segoe UI" w:cs="Segoe UI"/>
          <w:color w:val="101820"/>
          <w:sz w:val="21"/>
          <w:szCs w:val="21"/>
        </w:rPr>
        <w:t>The following table presents selected results of operations and reconciles GAAP net loss to controllable loss and illustrates the loss from ongoing business activities without the impact of non-controllable items for the three months ended March 31, 2019, and 2018:</w:t>
      </w:r>
    </w:p>
    <w:tbl>
      <w:tblPr>
        <w:tblW w:w="5000" w:type="pct"/>
        <w:tblCellMar>
          <w:left w:w="0" w:type="dxa"/>
          <w:right w:w="0" w:type="dxa"/>
        </w:tblCellMar>
        <w:tblLook w:val="04A0" w:firstRow="1" w:lastRow="0" w:firstColumn="1" w:lastColumn="0" w:noHBand="0" w:noVBand="1"/>
      </w:tblPr>
      <w:tblGrid>
        <w:gridCol w:w="72"/>
        <w:gridCol w:w="5109"/>
        <w:gridCol w:w="864"/>
        <w:gridCol w:w="1074"/>
        <w:gridCol w:w="70"/>
        <w:gridCol w:w="70"/>
        <w:gridCol w:w="864"/>
        <w:gridCol w:w="1074"/>
        <w:gridCol w:w="70"/>
        <w:gridCol w:w="73"/>
      </w:tblGrid>
      <w:tr w:rsidR="00B11F16" w:rsidTr="00B11F16">
        <w:tc>
          <w:tcPr>
            <w:tcW w:w="75" w:type="dxa"/>
            <w:tcBorders>
              <w:top w:val="single" w:sz="8" w:space="0" w:color="333333"/>
              <w:left w:val="single" w:sz="8" w:space="0" w:color="333333"/>
              <w:bottom w:val="nil"/>
              <w:right w:val="nil"/>
            </w:tcBorders>
            <w:vAlign w:val="bottom"/>
            <w:hideMark/>
          </w:tcPr>
          <w:p w:rsidR="00B11F16" w:rsidRDefault="00B11F16">
            <w:pPr>
              <w:pStyle w:val="yiv7535168498msonormal"/>
            </w:pPr>
            <w:r>
              <w:t> </w:t>
            </w:r>
          </w:p>
        </w:tc>
        <w:tc>
          <w:tcPr>
            <w:tcW w:w="7275" w:type="dxa"/>
            <w:tcBorders>
              <w:top w:val="single" w:sz="8" w:space="0" w:color="333333"/>
              <w:left w:val="nil"/>
              <w:bottom w:val="nil"/>
              <w:right w:val="nil"/>
            </w:tcBorders>
            <w:vAlign w:val="bottom"/>
            <w:hideMark/>
          </w:tcPr>
          <w:p w:rsidR="00B11F16" w:rsidRDefault="00B11F16">
            <w:pPr>
              <w:pStyle w:val="NormalWeb"/>
            </w:pPr>
            <w:r>
              <w:rPr>
                <w:rStyle w:val="Emphasis"/>
                <w:rFonts w:ascii="Calibri" w:hAnsi="Calibri"/>
              </w:rPr>
              <w:t>(results in $ millions)</w:t>
            </w:r>
          </w:p>
        </w:tc>
        <w:tc>
          <w:tcPr>
            <w:tcW w:w="75" w:type="dxa"/>
            <w:gridSpan w:val="3"/>
            <w:tcBorders>
              <w:top w:val="single" w:sz="8" w:space="0" w:color="333333"/>
              <w:left w:val="nil"/>
              <w:bottom w:val="nil"/>
              <w:right w:val="nil"/>
            </w:tcBorders>
            <w:vAlign w:val="bottom"/>
            <w:hideMark/>
          </w:tcPr>
          <w:p w:rsidR="00B11F16" w:rsidRDefault="00B11F16">
            <w:pPr>
              <w:pStyle w:val="NormalWeb"/>
              <w:jc w:val="center"/>
            </w:pPr>
            <w:r>
              <w:rPr>
                <w:rStyle w:val="Strong"/>
                <w:rFonts w:ascii="Calibri" w:hAnsi="Calibri"/>
              </w:rPr>
              <w:t>2019</w:t>
            </w:r>
          </w:p>
        </w:tc>
        <w:tc>
          <w:tcPr>
            <w:tcW w:w="75" w:type="dxa"/>
            <w:tcBorders>
              <w:top w:val="single" w:sz="8" w:space="0" w:color="333333"/>
              <w:left w:val="nil"/>
              <w:bottom w:val="nil"/>
              <w:right w:val="nil"/>
            </w:tcBorders>
            <w:vAlign w:val="bottom"/>
            <w:hideMark/>
          </w:tcPr>
          <w:p w:rsidR="00B11F16" w:rsidRDefault="00B11F16">
            <w:pPr>
              <w:pStyle w:val="yiv7535168498msonormal"/>
            </w:pPr>
            <w:r>
              <w:t> </w:t>
            </w:r>
          </w:p>
        </w:tc>
        <w:tc>
          <w:tcPr>
            <w:tcW w:w="75" w:type="dxa"/>
            <w:gridSpan w:val="3"/>
            <w:tcBorders>
              <w:top w:val="single" w:sz="8" w:space="0" w:color="333333"/>
              <w:left w:val="nil"/>
              <w:bottom w:val="nil"/>
              <w:right w:val="nil"/>
            </w:tcBorders>
            <w:vAlign w:val="bottom"/>
            <w:hideMark/>
          </w:tcPr>
          <w:p w:rsidR="00B11F16" w:rsidRDefault="00B11F16">
            <w:pPr>
              <w:pStyle w:val="NormalWeb"/>
              <w:jc w:val="center"/>
            </w:pPr>
            <w:r>
              <w:rPr>
                <w:rStyle w:val="Strong"/>
                <w:rFonts w:ascii="Calibri" w:hAnsi="Calibri"/>
              </w:rPr>
              <w:t>2018</w:t>
            </w:r>
          </w:p>
        </w:tc>
        <w:tc>
          <w:tcPr>
            <w:tcW w:w="75" w:type="dxa"/>
            <w:tcBorders>
              <w:top w:val="single" w:sz="8" w:space="0" w:color="333333"/>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rPr>
                <w:rStyle w:val="Strong"/>
                <w:rFonts w:ascii="Calibri" w:hAnsi="Calibri"/>
              </w:rPr>
              <w:t>Operating revenue</w:t>
            </w:r>
          </w:p>
        </w:tc>
        <w:tc>
          <w:tcPr>
            <w:tcW w:w="1290" w:type="dxa"/>
            <w:vAlign w:val="bottom"/>
            <w:hideMark/>
          </w:tcPr>
          <w:p w:rsidR="00B11F16" w:rsidRDefault="00B11F16">
            <w:pPr>
              <w:pStyle w:val="NormalWeb"/>
            </w:pPr>
            <w:r>
              <w:rPr>
                <w:rStyle w:val="Strong"/>
                <w:rFonts w:ascii="Calibri" w:hAnsi="Calibri"/>
              </w:rPr>
              <w:t>$</w:t>
            </w:r>
          </w:p>
        </w:tc>
        <w:tc>
          <w:tcPr>
            <w:tcW w:w="1290" w:type="dxa"/>
            <w:vAlign w:val="bottom"/>
            <w:hideMark/>
          </w:tcPr>
          <w:p w:rsidR="00B11F16" w:rsidRDefault="00B11F16">
            <w:pPr>
              <w:pStyle w:val="NormalWeb"/>
              <w:jc w:val="right"/>
            </w:pPr>
            <w:r>
              <w:rPr>
                <w:rStyle w:val="Strong"/>
                <w:rFonts w:ascii="Calibri" w:hAnsi="Calibri"/>
              </w:rPr>
              <w:t>17,492</w:t>
            </w:r>
          </w:p>
        </w:tc>
        <w:tc>
          <w:tcPr>
            <w:tcW w:w="75" w:type="dxa"/>
            <w:vAlign w:val="bottom"/>
            <w:hideMark/>
          </w:tcPr>
          <w:p w:rsidR="00B11F16" w:rsidRDefault="00B11F16">
            <w:pPr>
              <w:pStyle w:val="NormalWeb"/>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pPr>
            <w:r>
              <w:rPr>
                <w:rStyle w:val="Strong"/>
                <w:rFonts w:ascii="Calibri" w:hAnsi="Calibri"/>
              </w:rPr>
              <w:t>$</w:t>
            </w:r>
          </w:p>
        </w:tc>
        <w:tc>
          <w:tcPr>
            <w:tcW w:w="1290" w:type="dxa"/>
            <w:vAlign w:val="bottom"/>
            <w:hideMark/>
          </w:tcPr>
          <w:p w:rsidR="00B11F16" w:rsidRDefault="00B11F16">
            <w:pPr>
              <w:pStyle w:val="NormalWeb"/>
              <w:jc w:val="right"/>
            </w:pPr>
            <w:r>
              <w:rPr>
                <w:rStyle w:val="Strong"/>
                <w:rFonts w:ascii="Calibri" w:hAnsi="Calibri"/>
              </w:rPr>
              <w:t>17,496</w:t>
            </w:r>
          </w:p>
        </w:tc>
        <w:tc>
          <w:tcPr>
            <w:tcW w:w="75" w:type="dxa"/>
            <w:vAlign w:val="bottom"/>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t>Other revenue</w:t>
            </w:r>
          </w:p>
        </w:tc>
        <w:tc>
          <w:tcPr>
            <w:tcW w:w="1290" w:type="dxa"/>
            <w:vAlign w:val="bottom"/>
            <w:hideMark/>
          </w:tcPr>
          <w:p w:rsidR="00B11F16" w:rsidRDefault="00B11F16">
            <w:pPr>
              <w:pStyle w:val="NormalWeb"/>
            </w:pPr>
            <w:r>
              <w:t> </w:t>
            </w:r>
          </w:p>
        </w:tc>
        <w:tc>
          <w:tcPr>
            <w:tcW w:w="1290" w:type="dxa"/>
            <w:vAlign w:val="bottom"/>
            <w:hideMark/>
          </w:tcPr>
          <w:p w:rsidR="00B11F16" w:rsidRDefault="00B11F16">
            <w:pPr>
              <w:pStyle w:val="NormalWeb"/>
              <w:jc w:val="right"/>
            </w:pPr>
            <w:r>
              <w:t>3</w:t>
            </w:r>
          </w:p>
        </w:tc>
        <w:tc>
          <w:tcPr>
            <w:tcW w:w="75" w:type="dxa"/>
            <w:vAlign w:val="bottom"/>
            <w:hideMark/>
          </w:tcPr>
          <w:p w:rsidR="00B11F16" w:rsidRDefault="00B11F16">
            <w:pPr>
              <w:pStyle w:val="NormalWeb"/>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pPr>
            <w:r>
              <w:t> </w:t>
            </w:r>
          </w:p>
        </w:tc>
        <w:tc>
          <w:tcPr>
            <w:tcW w:w="1290" w:type="dxa"/>
            <w:vAlign w:val="bottom"/>
            <w:hideMark/>
          </w:tcPr>
          <w:p w:rsidR="00B11F16" w:rsidRDefault="00B11F16">
            <w:pPr>
              <w:pStyle w:val="NormalWeb"/>
              <w:jc w:val="right"/>
            </w:pPr>
            <w:r>
              <w:t>7</w:t>
            </w:r>
          </w:p>
        </w:tc>
        <w:tc>
          <w:tcPr>
            <w:tcW w:w="75" w:type="dxa"/>
            <w:vAlign w:val="bottom"/>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rPr>
                <w:rStyle w:val="Strong"/>
                <w:rFonts w:ascii="Calibri" w:hAnsi="Calibri"/>
              </w:rPr>
              <w:t>Total revenue</w:t>
            </w:r>
          </w:p>
        </w:tc>
        <w:tc>
          <w:tcPr>
            <w:tcW w:w="1290" w:type="dxa"/>
            <w:vAlign w:val="bottom"/>
            <w:hideMark/>
          </w:tcPr>
          <w:p w:rsidR="00B11F16" w:rsidRDefault="00B11F16">
            <w:pPr>
              <w:pStyle w:val="NormalWeb"/>
            </w:pPr>
            <w:r>
              <w:rPr>
                <w:rStyle w:val="Strong"/>
                <w:rFonts w:ascii="Calibri" w:hAnsi="Calibri"/>
              </w:rPr>
              <w:t>$</w:t>
            </w:r>
          </w:p>
        </w:tc>
        <w:tc>
          <w:tcPr>
            <w:tcW w:w="1290" w:type="dxa"/>
            <w:vAlign w:val="bottom"/>
            <w:hideMark/>
          </w:tcPr>
          <w:p w:rsidR="00B11F16" w:rsidRDefault="00B11F16">
            <w:pPr>
              <w:pStyle w:val="NormalWeb"/>
              <w:jc w:val="right"/>
            </w:pPr>
            <w:r>
              <w:rPr>
                <w:rStyle w:val="Strong"/>
                <w:rFonts w:ascii="Calibri" w:hAnsi="Calibri"/>
              </w:rPr>
              <w:t>17,495</w:t>
            </w:r>
          </w:p>
        </w:tc>
        <w:tc>
          <w:tcPr>
            <w:tcW w:w="75" w:type="dxa"/>
            <w:vAlign w:val="bottom"/>
            <w:hideMark/>
          </w:tcPr>
          <w:p w:rsidR="00B11F16" w:rsidRDefault="00B11F16">
            <w:pPr>
              <w:pStyle w:val="NormalWeb"/>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pPr>
            <w:r>
              <w:rPr>
                <w:rStyle w:val="Strong"/>
                <w:rFonts w:ascii="Calibri" w:hAnsi="Calibri"/>
              </w:rPr>
              <w:t>$</w:t>
            </w:r>
          </w:p>
        </w:tc>
        <w:tc>
          <w:tcPr>
            <w:tcW w:w="1290" w:type="dxa"/>
            <w:vAlign w:val="bottom"/>
            <w:hideMark/>
          </w:tcPr>
          <w:p w:rsidR="00B11F16" w:rsidRDefault="00B11F16">
            <w:pPr>
              <w:pStyle w:val="NormalWeb"/>
              <w:jc w:val="right"/>
            </w:pPr>
            <w:r>
              <w:rPr>
                <w:rStyle w:val="Strong"/>
                <w:rFonts w:ascii="Calibri" w:hAnsi="Calibri"/>
              </w:rPr>
              <w:t>17,503</w:t>
            </w:r>
          </w:p>
        </w:tc>
        <w:tc>
          <w:tcPr>
            <w:tcW w:w="75" w:type="dxa"/>
            <w:vAlign w:val="bottom"/>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rPr>
                <w:rStyle w:val="Strong"/>
                <w:rFonts w:ascii="Calibri" w:hAnsi="Calibri"/>
              </w:rPr>
              <w:t>Total operating expenses</w:t>
            </w:r>
          </w:p>
        </w:tc>
        <w:tc>
          <w:tcPr>
            <w:tcW w:w="1290" w:type="dxa"/>
            <w:vAlign w:val="bottom"/>
            <w:hideMark/>
          </w:tcPr>
          <w:p w:rsidR="00B11F16" w:rsidRDefault="00B11F16">
            <w:pPr>
              <w:pStyle w:val="NormalWeb"/>
            </w:pPr>
            <w:r>
              <w:rPr>
                <w:rStyle w:val="Strong"/>
                <w:rFonts w:ascii="Calibri" w:hAnsi="Calibri"/>
              </w:rPr>
              <w:t>$</w:t>
            </w:r>
          </w:p>
        </w:tc>
        <w:tc>
          <w:tcPr>
            <w:tcW w:w="1290" w:type="dxa"/>
            <w:vAlign w:val="bottom"/>
            <w:hideMark/>
          </w:tcPr>
          <w:p w:rsidR="00B11F16" w:rsidRDefault="00B11F16">
            <w:pPr>
              <w:pStyle w:val="NormalWeb"/>
              <w:jc w:val="right"/>
            </w:pPr>
            <w:r>
              <w:rPr>
                <w:rStyle w:val="Strong"/>
                <w:rFonts w:ascii="Calibri" w:hAnsi="Calibri"/>
              </w:rPr>
              <w:t>19,557</w:t>
            </w:r>
          </w:p>
        </w:tc>
        <w:tc>
          <w:tcPr>
            <w:tcW w:w="75" w:type="dxa"/>
            <w:vAlign w:val="bottom"/>
            <w:hideMark/>
          </w:tcPr>
          <w:p w:rsidR="00B11F16" w:rsidRDefault="00B11F16">
            <w:pPr>
              <w:pStyle w:val="NormalWeb"/>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pPr>
            <w:r>
              <w:rPr>
                <w:rStyle w:val="Strong"/>
                <w:rFonts w:ascii="Calibri" w:hAnsi="Calibri"/>
              </w:rPr>
              <w:t>$</w:t>
            </w:r>
          </w:p>
        </w:tc>
        <w:tc>
          <w:tcPr>
            <w:tcW w:w="1290" w:type="dxa"/>
            <w:vAlign w:val="bottom"/>
            <w:hideMark/>
          </w:tcPr>
          <w:p w:rsidR="00B11F16" w:rsidRDefault="00B11F16">
            <w:pPr>
              <w:pStyle w:val="NormalWeb"/>
              <w:jc w:val="right"/>
            </w:pPr>
            <w:r>
              <w:rPr>
                <w:rStyle w:val="Strong"/>
                <w:rFonts w:ascii="Calibri" w:hAnsi="Calibri"/>
              </w:rPr>
              <w:t>18,806</w:t>
            </w:r>
          </w:p>
        </w:tc>
        <w:tc>
          <w:tcPr>
            <w:tcW w:w="75" w:type="dxa"/>
            <w:vAlign w:val="bottom"/>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t>Interest and investment income (expense), net</w:t>
            </w:r>
          </w:p>
        </w:tc>
        <w:tc>
          <w:tcPr>
            <w:tcW w:w="1290" w:type="dxa"/>
            <w:vAlign w:val="bottom"/>
            <w:hideMark/>
          </w:tcPr>
          <w:p w:rsidR="00B11F16" w:rsidRDefault="00B11F16">
            <w:pPr>
              <w:pStyle w:val="NormalWeb"/>
            </w:pPr>
            <w:r>
              <w:t> </w:t>
            </w:r>
          </w:p>
        </w:tc>
        <w:tc>
          <w:tcPr>
            <w:tcW w:w="1290" w:type="dxa"/>
            <w:vAlign w:val="bottom"/>
            <w:hideMark/>
          </w:tcPr>
          <w:p w:rsidR="00B11F16" w:rsidRDefault="00B11F16">
            <w:pPr>
              <w:pStyle w:val="NormalWeb"/>
              <w:jc w:val="right"/>
            </w:pPr>
            <w:r>
              <w:t>(20)</w:t>
            </w:r>
          </w:p>
        </w:tc>
        <w:tc>
          <w:tcPr>
            <w:tcW w:w="75" w:type="dxa"/>
            <w:vAlign w:val="bottom"/>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pPr>
            <w:r>
              <w:t> </w:t>
            </w:r>
          </w:p>
        </w:tc>
        <w:tc>
          <w:tcPr>
            <w:tcW w:w="1290" w:type="dxa"/>
            <w:vAlign w:val="bottom"/>
            <w:hideMark/>
          </w:tcPr>
          <w:p w:rsidR="00B11F16" w:rsidRDefault="00B11F16">
            <w:pPr>
              <w:pStyle w:val="NormalWeb"/>
              <w:jc w:val="right"/>
            </w:pPr>
            <w:r>
              <w:t>(32)</w:t>
            </w:r>
          </w:p>
        </w:tc>
        <w:tc>
          <w:tcPr>
            <w:tcW w:w="75" w:type="dxa"/>
            <w:vAlign w:val="bottom"/>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rPr>
                <w:rStyle w:val="Strong"/>
                <w:rFonts w:ascii="Calibri" w:hAnsi="Calibri"/>
              </w:rPr>
              <w:t>Net loss</w:t>
            </w:r>
          </w:p>
        </w:tc>
        <w:tc>
          <w:tcPr>
            <w:tcW w:w="1290" w:type="dxa"/>
            <w:vAlign w:val="bottom"/>
            <w:hideMark/>
          </w:tcPr>
          <w:p w:rsidR="00B11F16" w:rsidRDefault="00B11F16">
            <w:pPr>
              <w:pStyle w:val="NormalWeb"/>
            </w:pPr>
            <w:r>
              <w:rPr>
                <w:rStyle w:val="Strong"/>
                <w:rFonts w:ascii="Calibri" w:hAnsi="Calibri"/>
              </w:rPr>
              <w:t>$</w:t>
            </w:r>
          </w:p>
        </w:tc>
        <w:tc>
          <w:tcPr>
            <w:tcW w:w="1290" w:type="dxa"/>
            <w:vAlign w:val="bottom"/>
            <w:hideMark/>
          </w:tcPr>
          <w:p w:rsidR="00B11F16" w:rsidRDefault="00B11F16">
            <w:pPr>
              <w:pStyle w:val="NormalWeb"/>
              <w:jc w:val="right"/>
            </w:pPr>
            <w:r>
              <w:rPr>
                <w:rStyle w:val="Strong"/>
                <w:rFonts w:ascii="Calibri" w:hAnsi="Calibri"/>
              </w:rPr>
              <w:t>(2,082)</w:t>
            </w:r>
          </w:p>
        </w:tc>
        <w:tc>
          <w:tcPr>
            <w:tcW w:w="75" w:type="dxa"/>
            <w:vAlign w:val="bottom"/>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pPr>
            <w:r>
              <w:rPr>
                <w:rStyle w:val="Strong"/>
                <w:rFonts w:ascii="Calibri" w:hAnsi="Calibri"/>
              </w:rPr>
              <w:t>$</w:t>
            </w:r>
          </w:p>
        </w:tc>
        <w:tc>
          <w:tcPr>
            <w:tcW w:w="1290" w:type="dxa"/>
            <w:vAlign w:val="bottom"/>
            <w:hideMark/>
          </w:tcPr>
          <w:p w:rsidR="00B11F16" w:rsidRDefault="00B11F16">
            <w:pPr>
              <w:pStyle w:val="NormalWeb"/>
              <w:jc w:val="right"/>
            </w:pPr>
            <w:r>
              <w:rPr>
                <w:rStyle w:val="Strong"/>
                <w:rFonts w:ascii="Calibri" w:hAnsi="Calibri"/>
              </w:rPr>
              <w:t>(1,335)</w:t>
            </w:r>
          </w:p>
        </w:tc>
        <w:tc>
          <w:tcPr>
            <w:tcW w:w="75" w:type="dxa"/>
            <w:vAlign w:val="bottom"/>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t>PSRHBF unfunded liability amortization expense</w:t>
            </w:r>
            <w:r>
              <w:rPr>
                <w:sz w:val="12"/>
                <w:szCs w:val="12"/>
                <w:vertAlign w:val="superscript"/>
              </w:rPr>
              <w:t>1</w:t>
            </w:r>
          </w:p>
        </w:tc>
        <w:tc>
          <w:tcPr>
            <w:tcW w:w="1290" w:type="dxa"/>
            <w:gridSpan w:val="2"/>
            <w:vAlign w:val="bottom"/>
            <w:hideMark/>
          </w:tcPr>
          <w:p w:rsidR="00B11F16" w:rsidRDefault="00B11F16">
            <w:pPr>
              <w:pStyle w:val="NormalWeb"/>
              <w:jc w:val="right"/>
            </w:pPr>
            <w:r>
              <w:t>275</w:t>
            </w:r>
          </w:p>
        </w:tc>
        <w:tc>
          <w:tcPr>
            <w:tcW w:w="75" w:type="dxa"/>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gridSpan w:val="2"/>
            <w:vAlign w:val="bottom"/>
            <w:hideMark/>
          </w:tcPr>
          <w:p w:rsidR="00B11F16" w:rsidRDefault="00B11F16">
            <w:pPr>
              <w:pStyle w:val="NormalWeb"/>
              <w:jc w:val="right"/>
            </w:pPr>
            <w:r>
              <w:t>297</w:t>
            </w:r>
          </w:p>
        </w:tc>
        <w:tc>
          <w:tcPr>
            <w:tcW w:w="75" w:type="dxa"/>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t>Change in workers’ compensation liability resulting from fluctuations in discount rates</w:t>
            </w:r>
          </w:p>
        </w:tc>
        <w:tc>
          <w:tcPr>
            <w:tcW w:w="1290" w:type="dxa"/>
            <w:vAlign w:val="bottom"/>
            <w:hideMark/>
          </w:tcPr>
          <w:p w:rsidR="00B11F16" w:rsidRDefault="00B11F16">
            <w:pPr>
              <w:pStyle w:val="NormalWeb"/>
            </w:pPr>
            <w:r>
              <w:t> </w:t>
            </w:r>
          </w:p>
        </w:tc>
        <w:tc>
          <w:tcPr>
            <w:tcW w:w="1290" w:type="dxa"/>
            <w:vAlign w:val="bottom"/>
            <w:hideMark/>
          </w:tcPr>
          <w:p w:rsidR="00B11F16" w:rsidRDefault="00B11F16">
            <w:pPr>
              <w:pStyle w:val="NormalWeb"/>
              <w:jc w:val="right"/>
            </w:pPr>
            <w:r>
              <w:t>454</w:t>
            </w:r>
          </w:p>
        </w:tc>
        <w:tc>
          <w:tcPr>
            <w:tcW w:w="75" w:type="dxa"/>
            <w:vAlign w:val="bottom"/>
            <w:hideMark/>
          </w:tcPr>
          <w:p w:rsidR="00B11F16" w:rsidRDefault="00B11F16">
            <w:pPr>
              <w:pStyle w:val="yiv7535168498msonormal"/>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pPr>
            <w:r>
              <w:t> </w:t>
            </w:r>
          </w:p>
        </w:tc>
        <w:tc>
          <w:tcPr>
            <w:tcW w:w="1290" w:type="dxa"/>
            <w:vAlign w:val="bottom"/>
            <w:hideMark/>
          </w:tcPr>
          <w:p w:rsidR="00B11F16" w:rsidRDefault="00B11F16">
            <w:pPr>
              <w:pStyle w:val="NormalWeb"/>
              <w:jc w:val="right"/>
            </w:pPr>
            <w:r>
              <w:t>(557)</w:t>
            </w:r>
          </w:p>
        </w:tc>
        <w:tc>
          <w:tcPr>
            <w:tcW w:w="75" w:type="dxa"/>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t>Other change in workers’ compensation liability</w:t>
            </w:r>
            <w:r>
              <w:rPr>
                <w:sz w:val="12"/>
                <w:szCs w:val="12"/>
                <w:vertAlign w:val="superscript"/>
              </w:rPr>
              <w:t>2</w:t>
            </w:r>
          </w:p>
        </w:tc>
        <w:tc>
          <w:tcPr>
            <w:tcW w:w="1290" w:type="dxa"/>
            <w:vAlign w:val="bottom"/>
            <w:hideMark/>
          </w:tcPr>
          <w:p w:rsidR="00B11F16" w:rsidRDefault="00B11F16">
            <w:pPr>
              <w:pStyle w:val="NormalWeb"/>
            </w:pPr>
            <w:r>
              <w:t> </w:t>
            </w:r>
          </w:p>
        </w:tc>
        <w:tc>
          <w:tcPr>
            <w:tcW w:w="1290" w:type="dxa"/>
            <w:vAlign w:val="bottom"/>
            <w:hideMark/>
          </w:tcPr>
          <w:p w:rsidR="00B11F16" w:rsidRDefault="00B11F16">
            <w:pPr>
              <w:pStyle w:val="NormalWeb"/>
              <w:jc w:val="right"/>
            </w:pPr>
            <w:r>
              <w:t>(53)</w:t>
            </w:r>
          </w:p>
        </w:tc>
        <w:tc>
          <w:tcPr>
            <w:tcW w:w="75" w:type="dxa"/>
            <w:vAlign w:val="bottom"/>
            <w:hideMark/>
          </w:tcPr>
          <w:p w:rsidR="00B11F16" w:rsidRDefault="00B11F16">
            <w:pPr>
              <w:pStyle w:val="yiv7535168498msonormal"/>
            </w:pPr>
            <w:r>
              <w:t> </w:t>
            </w:r>
          </w:p>
        </w:tc>
        <w:tc>
          <w:tcPr>
            <w:tcW w:w="75" w:type="dxa"/>
            <w:vAlign w:val="center"/>
            <w:hideMark/>
          </w:tcPr>
          <w:p w:rsidR="00B11F16" w:rsidRDefault="00B11F16">
            <w:pPr>
              <w:pStyle w:val="yiv7535168498msonormal"/>
            </w:pPr>
            <w:r>
              <w:t> </w:t>
            </w:r>
          </w:p>
        </w:tc>
        <w:tc>
          <w:tcPr>
            <w:tcW w:w="1290" w:type="dxa"/>
            <w:vAlign w:val="bottom"/>
            <w:hideMark/>
          </w:tcPr>
          <w:p w:rsidR="00B11F16" w:rsidRDefault="00B11F16">
            <w:pPr>
              <w:pStyle w:val="NormalWeb"/>
            </w:pPr>
            <w:r>
              <w:t> </w:t>
            </w:r>
          </w:p>
        </w:tc>
        <w:tc>
          <w:tcPr>
            <w:tcW w:w="1290" w:type="dxa"/>
            <w:vAlign w:val="bottom"/>
            <w:hideMark/>
          </w:tcPr>
          <w:p w:rsidR="00B11F16" w:rsidRDefault="00B11F16">
            <w:pPr>
              <w:pStyle w:val="NormalWeb"/>
              <w:jc w:val="right"/>
            </w:pPr>
            <w:r>
              <w:t>(58)</w:t>
            </w:r>
          </w:p>
        </w:tc>
        <w:tc>
          <w:tcPr>
            <w:tcW w:w="75" w:type="dxa"/>
            <w:vAlign w:val="bottom"/>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t>CSRS unfunded liability amortization expense</w:t>
            </w:r>
            <w:r>
              <w:rPr>
                <w:sz w:val="12"/>
                <w:szCs w:val="12"/>
                <w:vertAlign w:val="superscript"/>
              </w:rPr>
              <w:t>3</w:t>
            </w:r>
          </w:p>
        </w:tc>
        <w:tc>
          <w:tcPr>
            <w:tcW w:w="1290" w:type="dxa"/>
            <w:gridSpan w:val="2"/>
            <w:vAlign w:val="bottom"/>
            <w:hideMark/>
          </w:tcPr>
          <w:p w:rsidR="00B11F16" w:rsidRDefault="00B11F16">
            <w:pPr>
              <w:pStyle w:val="NormalWeb"/>
              <w:jc w:val="right"/>
            </w:pPr>
            <w:r>
              <w:t>360</w:t>
            </w:r>
          </w:p>
        </w:tc>
        <w:tc>
          <w:tcPr>
            <w:tcW w:w="75" w:type="dxa"/>
            <w:hideMark/>
          </w:tcPr>
          <w:p w:rsidR="00B11F16" w:rsidRDefault="00B11F16">
            <w:pPr>
              <w:pStyle w:val="yiv7535168498msonormal"/>
            </w:pPr>
            <w:r>
              <w:t> </w:t>
            </w:r>
          </w:p>
        </w:tc>
        <w:tc>
          <w:tcPr>
            <w:tcW w:w="75" w:type="dxa"/>
            <w:vAlign w:val="center"/>
            <w:hideMark/>
          </w:tcPr>
          <w:p w:rsidR="00B11F16" w:rsidRDefault="00B11F16">
            <w:pPr>
              <w:pStyle w:val="yiv7535168498msonormal"/>
            </w:pPr>
            <w:r>
              <w:t> </w:t>
            </w:r>
          </w:p>
        </w:tc>
        <w:tc>
          <w:tcPr>
            <w:tcW w:w="1290" w:type="dxa"/>
            <w:gridSpan w:val="2"/>
            <w:vAlign w:val="bottom"/>
            <w:hideMark/>
          </w:tcPr>
          <w:p w:rsidR="00B11F16" w:rsidRDefault="00B11F16">
            <w:pPr>
              <w:pStyle w:val="NormalWeb"/>
              <w:jc w:val="right"/>
            </w:pPr>
            <w:r>
              <w:t>479</w:t>
            </w:r>
          </w:p>
        </w:tc>
        <w:tc>
          <w:tcPr>
            <w:tcW w:w="75" w:type="dxa"/>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0" w:type="auto"/>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t>FERS unfunded liability amortization expense</w:t>
            </w:r>
            <w:r>
              <w:rPr>
                <w:sz w:val="12"/>
                <w:szCs w:val="12"/>
                <w:vertAlign w:val="superscript"/>
              </w:rPr>
              <w:t>4</w:t>
            </w:r>
          </w:p>
        </w:tc>
        <w:tc>
          <w:tcPr>
            <w:tcW w:w="75" w:type="dxa"/>
            <w:gridSpan w:val="2"/>
            <w:vAlign w:val="bottom"/>
            <w:hideMark/>
          </w:tcPr>
          <w:p w:rsidR="00B11F16" w:rsidRDefault="00B11F16">
            <w:pPr>
              <w:pStyle w:val="NormalWeb"/>
              <w:jc w:val="right"/>
            </w:pPr>
            <w:r>
              <w:t>240</w:t>
            </w:r>
          </w:p>
        </w:tc>
        <w:tc>
          <w:tcPr>
            <w:tcW w:w="0" w:type="auto"/>
            <w:vAlign w:val="bottom"/>
            <w:hideMark/>
          </w:tcPr>
          <w:p w:rsidR="00B11F16" w:rsidRDefault="00B11F16">
            <w:pPr>
              <w:pStyle w:val="yiv7535168498msonormal"/>
            </w:pPr>
            <w:r>
              <w:t> </w:t>
            </w:r>
          </w:p>
        </w:tc>
        <w:tc>
          <w:tcPr>
            <w:tcW w:w="0" w:type="auto"/>
            <w:vAlign w:val="bottom"/>
            <w:hideMark/>
          </w:tcPr>
          <w:p w:rsidR="00B11F16" w:rsidRDefault="00B11F16">
            <w:pPr>
              <w:pStyle w:val="yiv7535168498msonormal"/>
            </w:pPr>
            <w:r>
              <w:t> </w:t>
            </w:r>
          </w:p>
        </w:tc>
        <w:tc>
          <w:tcPr>
            <w:tcW w:w="75" w:type="dxa"/>
            <w:gridSpan w:val="2"/>
            <w:vAlign w:val="bottom"/>
            <w:hideMark/>
          </w:tcPr>
          <w:p w:rsidR="00B11F16" w:rsidRDefault="00B11F16">
            <w:pPr>
              <w:pStyle w:val="NormalWeb"/>
              <w:jc w:val="right"/>
            </w:pPr>
            <w:r>
              <w:t>415</w:t>
            </w:r>
          </w:p>
        </w:tc>
        <w:tc>
          <w:tcPr>
            <w:tcW w:w="0" w:type="auto"/>
            <w:vAlign w:val="bottom"/>
            <w:hideMark/>
          </w:tcPr>
          <w:p w:rsidR="00B11F16" w:rsidRDefault="00B11F16">
            <w:pPr>
              <w:pStyle w:val="yiv7535168498msonormal"/>
            </w:pPr>
            <w:r>
              <w:t> </w:t>
            </w:r>
          </w:p>
        </w:tc>
        <w:tc>
          <w:tcPr>
            <w:tcW w:w="0" w:type="auto"/>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0" w:type="auto"/>
            <w:tcBorders>
              <w:top w:val="nil"/>
              <w:left w:val="single" w:sz="8" w:space="0" w:color="333333"/>
              <w:bottom w:val="nil"/>
              <w:right w:val="nil"/>
            </w:tcBorders>
            <w:vAlign w:val="bottom"/>
            <w:hideMark/>
          </w:tcPr>
          <w:p w:rsidR="00B11F16" w:rsidRDefault="00B11F16">
            <w:pPr>
              <w:pStyle w:val="yiv7535168498msonormal"/>
            </w:pPr>
            <w:r>
              <w:lastRenderedPageBreak/>
              <w:t> </w:t>
            </w:r>
          </w:p>
        </w:tc>
        <w:tc>
          <w:tcPr>
            <w:tcW w:w="7275" w:type="dxa"/>
            <w:vAlign w:val="bottom"/>
            <w:hideMark/>
          </w:tcPr>
          <w:p w:rsidR="00B11F16" w:rsidRDefault="00B11F16">
            <w:pPr>
              <w:pStyle w:val="NormalWeb"/>
            </w:pPr>
            <w:r>
              <w:t>Change in normal cost of retiree health benefits due to revised actuarial assumptions</w:t>
            </w:r>
            <w:r>
              <w:rPr>
                <w:sz w:val="12"/>
                <w:szCs w:val="12"/>
                <w:vertAlign w:val="superscript"/>
              </w:rPr>
              <w:t>5</w:t>
            </w:r>
          </w:p>
        </w:tc>
        <w:tc>
          <w:tcPr>
            <w:tcW w:w="1290" w:type="dxa"/>
            <w:gridSpan w:val="2"/>
            <w:vAlign w:val="bottom"/>
            <w:hideMark/>
          </w:tcPr>
          <w:p w:rsidR="00B11F16" w:rsidRDefault="00B11F16">
            <w:pPr>
              <w:pStyle w:val="NormalWeb"/>
              <w:jc w:val="right"/>
            </w:pPr>
            <w:r>
              <w:t>—</w:t>
            </w:r>
          </w:p>
        </w:tc>
        <w:tc>
          <w:tcPr>
            <w:tcW w:w="0" w:type="auto"/>
            <w:vAlign w:val="bottom"/>
            <w:hideMark/>
          </w:tcPr>
          <w:p w:rsidR="00B11F16" w:rsidRDefault="00B11F16">
            <w:pPr>
              <w:pStyle w:val="yiv7535168498msonormal"/>
            </w:pPr>
            <w:r>
              <w:t> </w:t>
            </w:r>
          </w:p>
        </w:tc>
        <w:tc>
          <w:tcPr>
            <w:tcW w:w="0" w:type="auto"/>
            <w:vAlign w:val="bottom"/>
            <w:hideMark/>
          </w:tcPr>
          <w:p w:rsidR="00B11F16" w:rsidRDefault="00B11F16">
            <w:pPr>
              <w:pStyle w:val="yiv7535168498msonormal"/>
            </w:pPr>
            <w:r>
              <w:t> </w:t>
            </w:r>
          </w:p>
        </w:tc>
        <w:tc>
          <w:tcPr>
            <w:tcW w:w="1290" w:type="dxa"/>
            <w:gridSpan w:val="2"/>
            <w:vAlign w:val="bottom"/>
            <w:hideMark/>
          </w:tcPr>
          <w:p w:rsidR="00B11F16" w:rsidRDefault="00B11F16">
            <w:pPr>
              <w:pStyle w:val="NormalWeb"/>
              <w:jc w:val="right"/>
            </w:pPr>
            <w:r>
              <w:t>103</w:t>
            </w:r>
          </w:p>
        </w:tc>
        <w:tc>
          <w:tcPr>
            <w:tcW w:w="0" w:type="auto"/>
            <w:vAlign w:val="bottom"/>
            <w:hideMark/>
          </w:tcPr>
          <w:p w:rsidR="00B11F16" w:rsidRDefault="00B11F16">
            <w:pPr>
              <w:pStyle w:val="yiv7535168498msonormal"/>
            </w:pPr>
            <w:r>
              <w:t> </w:t>
            </w:r>
          </w:p>
        </w:tc>
        <w:tc>
          <w:tcPr>
            <w:tcW w:w="0" w:type="auto"/>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t> </w:t>
            </w:r>
          </w:p>
        </w:tc>
        <w:tc>
          <w:tcPr>
            <w:tcW w:w="7275" w:type="dxa"/>
            <w:vAlign w:val="bottom"/>
            <w:hideMark/>
          </w:tcPr>
          <w:p w:rsidR="00B11F16" w:rsidRDefault="00B11F16">
            <w:pPr>
              <w:pStyle w:val="NormalWeb"/>
            </w:pPr>
            <w:r>
              <w:rPr>
                <w:rStyle w:val="Strong"/>
                <w:rFonts w:ascii="Calibri" w:hAnsi="Calibri"/>
              </w:rPr>
              <w:t>Controllable loss</w:t>
            </w:r>
          </w:p>
        </w:tc>
        <w:tc>
          <w:tcPr>
            <w:tcW w:w="1290" w:type="dxa"/>
            <w:vAlign w:val="bottom"/>
            <w:hideMark/>
          </w:tcPr>
          <w:p w:rsidR="00B11F16" w:rsidRDefault="00B11F16">
            <w:pPr>
              <w:pStyle w:val="NormalWeb"/>
            </w:pPr>
            <w:r>
              <w:rPr>
                <w:rStyle w:val="Strong"/>
                <w:rFonts w:ascii="Calibri" w:hAnsi="Calibri"/>
              </w:rPr>
              <w:t>$</w:t>
            </w:r>
          </w:p>
        </w:tc>
        <w:tc>
          <w:tcPr>
            <w:tcW w:w="1290" w:type="dxa"/>
            <w:vAlign w:val="bottom"/>
            <w:hideMark/>
          </w:tcPr>
          <w:p w:rsidR="00B11F16" w:rsidRDefault="00B11F16">
            <w:pPr>
              <w:pStyle w:val="NormalWeb"/>
              <w:jc w:val="right"/>
            </w:pPr>
            <w:r>
              <w:rPr>
                <w:rStyle w:val="Strong"/>
                <w:rFonts w:ascii="Calibri" w:hAnsi="Calibri"/>
              </w:rPr>
              <w:t>(806)</w:t>
            </w:r>
          </w:p>
        </w:tc>
        <w:tc>
          <w:tcPr>
            <w:tcW w:w="75" w:type="dxa"/>
            <w:vAlign w:val="bottom"/>
            <w:hideMark/>
          </w:tcPr>
          <w:p w:rsidR="00B11F16" w:rsidRDefault="00B11F16">
            <w:pPr>
              <w:pStyle w:val="NormalWeb"/>
            </w:pPr>
            <w:r>
              <w:t> </w:t>
            </w:r>
          </w:p>
        </w:tc>
        <w:tc>
          <w:tcPr>
            <w:tcW w:w="75" w:type="dxa"/>
            <w:vAlign w:val="bottom"/>
            <w:hideMark/>
          </w:tcPr>
          <w:p w:rsidR="00B11F16" w:rsidRDefault="00B11F16">
            <w:pPr>
              <w:pStyle w:val="yiv7535168498msonormal"/>
            </w:pPr>
            <w:r>
              <w:t> </w:t>
            </w:r>
          </w:p>
        </w:tc>
        <w:tc>
          <w:tcPr>
            <w:tcW w:w="1290" w:type="dxa"/>
            <w:vAlign w:val="bottom"/>
            <w:hideMark/>
          </w:tcPr>
          <w:p w:rsidR="00B11F16" w:rsidRDefault="00B11F16">
            <w:pPr>
              <w:pStyle w:val="NormalWeb"/>
            </w:pPr>
            <w:r>
              <w:rPr>
                <w:rStyle w:val="Strong"/>
                <w:rFonts w:ascii="Calibri" w:hAnsi="Calibri"/>
              </w:rPr>
              <w:t>$</w:t>
            </w:r>
          </w:p>
        </w:tc>
        <w:tc>
          <w:tcPr>
            <w:tcW w:w="1290" w:type="dxa"/>
            <w:vAlign w:val="bottom"/>
            <w:hideMark/>
          </w:tcPr>
          <w:p w:rsidR="00B11F16" w:rsidRDefault="00B11F16">
            <w:pPr>
              <w:pStyle w:val="NormalWeb"/>
              <w:jc w:val="right"/>
            </w:pPr>
            <w:r>
              <w:rPr>
                <w:rStyle w:val="Strong"/>
                <w:rFonts w:ascii="Calibri" w:hAnsi="Calibri"/>
              </w:rPr>
              <w:t>(656</w:t>
            </w:r>
            <w:r>
              <w:t>)</w:t>
            </w:r>
          </w:p>
        </w:tc>
        <w:tc>
          <w:tcPr>
            <w:tcW w:w="75" w:type="dxa"/>
            <w:vAlign w:val="bottom"/>
            <w:hideMark/>
          </w:tcPr>
          <w:p w:rsidR="00B11F16" w:rsidRDefault="00B11F16">
            <w:pPr>
              <w:pStyle w:val="yiv7535168498msonormal"/>
            </w:pPr>
            <w:r>
              <w:t> </w:t>
            </w:r>
          </w:p>
        </w:tc>
        <w:tc>
          <w:tcPr>
            <w:tcW w:w="75" w:type="dxa"/>
            <w:tcBorders>
              <w:top w:val="nil"/>
              <w:left w:val="nil"/>
              <w:bottom w:val="nil"/>
              <w:right w:val="single" w:sz="8" w:space="0" w:color="333333"/>
            </w:tcBorders>
            <w:vAlign w:val="bottom"/>
            <w:hideMark/>
          </w:tcPr>
          <w:p w:rsidR="00B11F16" w:rsidRDefault="00B11F16">
            <w:pPr>
              <w:pStyle w:val="yiv7535168498msonormal"/>
            </w:pPr>
            <w: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rPr>
                <w:sz w:val="15"/>
                <w:szCs w:val="15"/>
              </w:rPr>
              <w:t> </w:t>
            </w:r>
          </w:p>
        </w:tc>
        <w:tc>
          <w:tcPr>
            <w:tcW w:w="10080" w:type="dxa"/>
            <w:gridSpan w:val="8"/>
            <w:vAlign w:val="bottom"/>
            <w:hideMark/>
          </w:tcPr>
          <w:p w:rsidR="00B11F16" w:rsidRDefault="00B11F16">
            <w:pPr>
              <w:pStyle w:val="NormalWeb"/>
            </w:pPr>
            <w:r>
              <w:rPr>
                <w:sz w:val="8"/>
                <w:szCs w:val="8"/>
                <w:vertAlign w:val="superscript"/>
              </w:rPr>
              <w:t>1</w:t>
            </w:r>
            <w:proofErr w:type="gramStart"/>
            <w:r>
              <w:rPr>
                <w:sz w:val="15"/>
                <w:szCs w:val="15"/>
              </w:rPr>
              <w:t>  Expense</w:t>
            </w:r>
            <w:proofErr w:type="gramEnd"/>
            <w:r>
              <w:rPr>
                <w:sz w:val="15"/>
                <w:szCs w:val="15"/>
              </w:rPr>
              <w:t xml:space="preserve"> for the accrual for the annual payment due to PSRHBF by September 30 of the respective fiscal year, for the amortization of the unfunded liability based on Postal Service estimates to OPM’s preliminary calculations with updated discount rate assumptions.</w:t>
            </w:r>
          </w:p>
        </w:tc>
        <w:tc>
          <w:tcPr>
            <w:tcW w:w="75" w:type="dxa"/>
            <w:tcBorders>
              <w:top w:val="nil"/>
              <w:left w:val="nil"/>
              <w:bottom w:val="nil"/>
              <w:right w:val="single" w:sz="8" w:space="0" w:color="333333"/>
            </w:tcBorders>
            <w:vAlign w:val="bottom"/>
            <w:hideMark/>
          </w:tcPr>
          <w:p w:rsidR="00B11F16" w:rsidRDefault="00B11F16">
            <w:pPr>
              <w:pStyle w:val="yiv7535168498msonormal"/>
            </w:pPr>
            <w:r>
              <w:rPr>
                <w:sz w:val="15"/>
                <w:szCs w:val="15"/>
              </w:rP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rPr>
                <w:sz w:val="15"/>
                <w:szCs w:val="15"/>
              </w:rPr>
              <w:t> </w:t>
            </w:r>
          </w:p>
        </w:tc>
        <w:tc>
          <w:tcPr>
            <w:tcW w:w="10080" w:type="dxa"/>
            <w:gridSpan w:val="8"/>
            <w:vAlign w:val="bottom"/>
            <w:hideMark/>
          </w:tcPr>
          <w:p w:rsidR="00B11F16" w:rsidRDefault="00B11F16">
            <w:pPr>
              <w:pStyle w:val="NormalWeb"/>
            </w:pPr>
            <w:r>
              <w:rPr>
                <w:sz w:val="8"/>
                <w:szCs w:val="8"/>
                <w:vertAlign w:val="superscript"/>
              </w:rPr>
              <w:t>2</w:t>
            </w:r>
            <w:proofErr w:type="gramStart"/>
            <w:r>
              <w:rPr>
                <w:sz w:val="15"/>
                <w:szCs w:val="15"/>
              </w:rPr>
              <w:t>  Net</w:t>
            </w:r>
            <w:proofErr w:type="gramEnd"/>
            <w:r>
              <w:rPr>
                <w:sz w:val="15"/>
                <w:szCs w:val="15"/>
              </w:rPr>
              <w:t xml:space="preserve"> amounts include changes in assumptions, valuation of new claims and revaluation of existing claims, less current year claim payments.</w:t>
            </w:r>
          </w:p>
        </w:tc>
        <w:tc>
          <w:tcPr>
            <w:tcW w:w="75" w:type="dxa"/>
            <w:tcBorders>
              <w:top w:val="nil"/>
              <w:left w:val="nil"/>
              <w:bottom w:val="nil"/>
              <w:right w:val="single" w:sz="8" w:space="0" w:color="333333"/>
            </w:tcBorders>
            <w:vAlign w:val="bottom"/>
            <w:hideMark/>
          </w:tcPr>
          <w:p w:rsidR="00B11F16" w:rsidRDefault="00B11F16">
            <w:pPr>
              <w:pStyle w:val="yiv7535168498msonormal"/>
            </w:pPr>
            <w:r>
              <w:rPr>
                <w:sz w:val="15"/>
                <w:szCs w:val="15"/>
              </w:rP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rPr>
                <w:sz w:val="15"/>
                <w:szCs w:val="15"/>
              </w:rPr>
              <w:t> </w:t>
            </w:r>
          </w:p>
        </w:tc>
        <w:tc>
          <w:tcPr>
            <w:tcW w:w="10080" w:type="dxa"/>
            <w:gridSpan w:val="8"/>
            <w:vAlign w:val="bottom"/>
            <w:hideMark/>
          </w:tcPr>
          <w:p w:rsidR="00B11F16" w:rsidRDefault="00B11F16">
            <w:pPr>
              <w:pStyle w:val="NormalWeb"/>
            </w:pPr>
            <w:r>
              <w:rPr>
                <w:sz w:val="8"/>
                <w:szCs w:val="8"/>
                <w:vertAlign w:val="superscript"/>
              </w:rPr>
              <w:t>3</w:t>
            </w:r>
            <w:proofErr w:type="gramStart"/>
            <w:r>
              <w:rPr>
                <w:sz w:val="15"/>
                <w:szCs w:val="15"/>
              </w:rPr>
              <w:t>  Expense</w:t>
            </w:r>
            <w:proofErr w:type="gramEnd"/>
            <w:r>
              <w:rPr>
                <w:sz w:val="15"/>
                <w:szCs w:val="15"/>
              </w:rPr>
              <w:t xml:space="preserve"> for the accrual for the annual payment due to OPM by September 30 of the respective fiscal year, based on information provided by OPM, to amortize the unfunded CSRS retirement obligation. Payments are to be made through 2043 based on OPM invoices.</w:t>
            </w:r>
          </w:p>
        </w:tc>
        <w:tc>
          <w:tcPr>
            <w:tcW w:w="75" w:type="dxa"/>
            <w:tcBorders>
              <w:top w:val="nil"/>
              <w:left w:val="nil"/>
              <w:bottom w:val="nil"/>
              <w:right w:val="single" w:sz="8" w:space="0" w:color="333333"/>
            </w:tcBorders>
            <w:vAlign w:val="bottom"/>
            <w:hideMark/>
          </w:tcPr>
          <w:p w:rsidR="00B11F16" w:rsidRDefault="00B11F16">
            <w:pPr>
              <w:pStyle w:val="yiv7535168498msonormal"/>
            </w:pPr>
            <w:r>
              <w:rPr>
                <w:sz w:val="15"/>
                <w:szCs w:val="15"/>
              </w:rPr>
              <w:t> </w:t>
            </w:r>
          </w:p>
        </w:tc>
      </w:tr>
      <w:tr w:rsidR="00B11F16" w:rsidTr="00B11F16">
        <w:tc>
          <w:tcPr>
            <w:tcW w:w="75" w:type="dxa"/>
            <w:tcBorders>
              <w:top w:val="nil"/>
              <w:left w:val="single" w:sz="8" w:space="0" w:color="333333"/>
              <w:bottom w:val="nil"/>
              <w:right w:val="nil"/>
            </w:tcBorders>
            <w:vAlign w:val="bottom"/>
            <w:hideMark/>
          </w:tcPr>
          <w:p w:rsidR="00B11F16" w:rsidRDefault="00B11F16">
            <w:pPr>
              <w:pStyle w:val="yiv7535168498msonormal"/>
            </w:pPr>
            <w:r>
              <w:rPr>
                <w:sz w:val="15"/>
                <w:szCs w:val="15"/>
              </w:rPr>
              <w:t> </w:t>
            </w:r>
          </w:p>
        </w:tc>
        <w:tc>
          <w:tcPr>
            <w:tcW w:w="10080" w:type="dxa"/>
            <w:gridSpan w:val="8"/>
            <w:vAlign w:val="bottom"/>
            <w:hideMark/>
          </w:tcPr>
          <w:p w:rsidR="00B11F16" w:rsidRDefault="00B11F16">
            <w:pPr>
              <w:pStyle w:val="NormalWeb"/>
            </w:pPr>
            <w:r>
              <w:rPr>
                <w:sz w:val="8"/>
                <w:szCs w:val="8"/>
                <w:vertAlign w:val="superscript"/>
              </w:rPr>
              <w:t>4</w:t>
            </w:r>
            <w:proofErr w:type="gramStart"/>
            <w:r>
              <w:rPr>
                <w:sz w:val="15"/>
                <w:szCs w:val="15"/>
              </w:rPr>
              <w:t>  Expense</w:t>
            </w:r>
            <w:proofErr w:type="gramEnd"/>
            <w:r>
              <w:rPr>
                <w:sz w:val="15"/>
                <w:szCs w:val="15"/>
              </w:rPr>
              <w:t xml:space="preserve"> for the accrual for the annual payment due to OPM by September 30 of the respective fiscal year, based on information provided by OPM, to amortize the unfunded FERS retirement obligation. Payments are to be made through 2047 based on OPM invoices.</w:t>
            </w:r>
          </w:p>
        </w:tc>
        <w:tc>
          <w:tcPr>
            <w:tcW w:w="75" w:type="dxa"/>
            <w:tcBorders>
              <w:top w:val="nil"/>
              <w:left w:val="nil"/>
              <w:bottom w:val="nil"/>
              <w:right w:val="single" w:sz="8" w:space="0" w:color="333333"/>
            </w:tcBorders>
            <w:vAlign w:val="bottom"/>
            <w:hideMark/>
          </w:tcPr>
          <w:p w:rsidR="00B11F16" w:rsidRDefault="00B11F16">
            <w:pPr>
              <w:pStyle w:val="yiv7535168498msonormal"/>
            </w:pPr>
            <w:r>
              <w:rPr>
                <w:sz w:val="15"/>
                <w:szCs w:val="15"/>
              </w:rPr>
              <w:t> </w:t>
            </w:r>
          </w:p>
        </w:tc>
      </w:tr>
      <w:tr w:rsidR="00B11F16" w:rsidTr="00B11F16">
        <w:tc>
          <w:tcPr>
            <w:tcW w:w="75" w:type="dxa"/>
            <w:tcBorders>
              <w:top w:val="nil"/>
              <w:left w:val="single" w:sz="8" w:space="0" w:color="333333"/>
              <w:bottom w:val="single" w:sz="8" w:space="0" w:color="333333"/>
              <w:right w:val="nil"/>
            </w:tcBorders>
            <w:vAlign w:val="bottom"/>
            <w:hideMark/>
          </w:tcPr>
          <w:p w:rsidR="00B11F16" w:rsidRDefault="00B11F16">
            <w:pPr>
              <w:pStyle w:val="yiv7535168498msonormal"/>
            </w:pPr>
            <w:r>
              <w:rPr>
                <w:sz w:val="15"/>
                <w:szCs w:val="15"/>
              </w:rPr>
              <w:t> </w:t>
            </w:r>
          </w:p>
        </w:tc>
        <w:tc>
          <w:tcPr>
            <w:tcW w:w="10080" w:type="dxa"/>
            <w:gridSpan w:val="8"/>
            <w:tcBorders>
              <w:top w:val="nil"/>
              <w:left w:val="nil"/>
              <w:bottom w:val="single" w:sz="8" w:space="0" w:color="333333"/>
              <w:right w:val="nil"/>
            </w:tcBorders>
            <w:vAlign w:val="bottom"/>
            <w:hideMark/>
          </w:tcPr>
          <w:p w:rsidR="00B11F16" w:rsidRDefault="00B11F16">
            <w:pPr>
              <w:pStyle w:val="NormalWeb"/>
            </w:pPr>
            <w:r>
              <w:rPr>
                <w:sz w:val="8"/>
                <w:szCs w:val="8"/>
                <w:vertAlign w:val="superscript"/>
              </w:rPr>
              <w:t>5</w:t>
            </w:r>
            <w:proofErr w:type="gramStart"/>
            <w:r>
              <w:rPr>
                <w:sz w:val="15"/>
                <w:szCs w:val="15"/>
              </w:rPr>
              <w:t>  Represents</w:t>
            </w:r>
            <w:proofErr w:type="gramEnd"/>
            <w:r>
              <w:rPr>
                <w:sz w:val="15"/>
                <w:szCs w:val="15"/>
              </w:rPr>
              <w:t xml:space="preserve"> the accrual for the portion or the increase in the annual normal cost payments due September 30, 2018, attributable to revised actuarial assumptions and discount rate changes, based on OPM’s invoices for the year. This amount represents the </w:t>
            </w:r>
            <w:proofErr w:type="spellStart"/>
            <w:r>
              <w:rPr>
                <w:sz w:val="15"/>
                <w:szCs w:val="15"/>
              </w:rPr>
              <w:t>noncontrollable</w:t>
            </w:r>
            <w:proofErr w:type="spellEnd"/>
            <w:r>
              <w:rPr>
                <w:sz w:val="15"/>
                <w:szCs w:val="15"/>
              </w:rPr>
              <w:t xml:space="preserve"> portion of the expense recorded for normal cost of retiree health benefits.</w:t>
            </w:r>
          </w:p>
        </w:tc>
        <w:tc>
          <w:tcPr>
            <w:tcW w:w="75" w:type="dxa"/>
            <w:tcBorders>
              <w:top w:val="nil"/>
              <w:left w:val="nil"/>
              <w:bottom w:val="single" w:sz="8" w:space="0" w:color="333333"/>
              <w:right w:val="single" w:sz="8" w:space="0" w:color="333333"/>
            </w:tcBorders>
            <w:vAlign w:val="bottom"/>
            <w:hideMark/>
          </w:tcPr>
          <w:p w:rsidR="00B11F16" w:rsidRDefault="00B11F16">
            <w:pPr>
              <w:pStyle w:val="yiv7535168498msonormal"/>
            </w:pPr>
            <w:r>
              <w:rPr>
                <w:sz w:val="15"/>
                <w:szCs w:val="15"/>
              </w:rPr>
              <w:t> </w:t>
            </w:r>
          </w:p>
        </w:tc>
      </w:tr>
    </w:tbl>
    <w:p w:rsidR="00B11F16" w:rsidRDefault="00B11F16" w:rsidP="00B11F16">
      <w:pPr>
        <w:pStyle w:val="yiv7535168498msonormal"/>
        <w:spacing w:after="240" w:afterAutospacing="0"/>
      </w:pPr>
      <w:r>
        <w:t> </w:t>
      </w:r>
    </w:p>
    <w:p w:rsidR="00B11F16" w:rsidRDefault="00B11F16" w:rsidP="00B11F16">
      <w:pPr>
        <w:pStyle w:val="NormalWeb"/>
        <w:shd w:val="clear" w:color="auto" w:fill="F7F7F7"/>
      </w:pPr>
      <w:r>
        <w:rPr>
          <w:rFonts w:ascii="Segoe UI" w:hAnsi="Segoe UI" w:cs="Segoe UI"/>
          <w:color w:val="101820"/>
          <w:sz w:val="21"/>
          <w:szCs w:val="21"/>
        </w:rPr>
        <w:t>Financial results in the Form 10-Q are available at </w:t>
      </w:r>
      <w:hyperlink r:id="rId5" w:tgtFrame="_blank" w:history="1">
        <w:r>
          <w:rPr>
            <w:rStyle w:val="Hyperlink"/>
            <w:rFonts w:ascii="Segoe UI" w:hAnsi="Segoe UI" w:cs="Segoe UI"/>
            <w:color w:val="004B87"/>
            <w:sz w:val="21"/>
            <w:szCs w:val="21"/>
          </w:rPr>
          <w:t>http://about.usps.com/what/financials/</w:t>
        </w:r>
      </w:hyperlink>
    </w:p>
    <w:p w:rsidR="00B11F16" w:rsidRDefault="00B11F16" w:rsidP="00B11F16">
      <w:pPr>
        <w:pStyle w:val="NormalWeb"/>
        <w:shd w:val="clear" w:color="auto" w:fill="F7F7F7"/>
      </w:pPr>
      <w:r>
        <w:rPr>
          <w:rFonts w:ascii="Segoe UI" w:hAnsi="Segoe UI" w:cs="Segoe UI"/>
          <w:color w:val="101820"/>
          <w:sz w:val="21"/>
          <w:szCs w:val="21"/>
        </w:rPr>
        <w:t>The Postal Service receives no tax dollars for operating expenses and relies on the sale of postage, products and services to fund its operations.</w:t>
      </w:r>
    </w:p>
    <w:p w:rsidR="006A789D" w:rsidRDefault="006A789D">
      <w:bookmarkStart w:id="0" w:name="_GoBack"/>
      <w:bookmarkEnd w:id="0"/>
    </w:p>
    <w:sectPr w:rsidR="006A7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16B13"/>
    <w:multiLevelType w:val="multilevel"/>
    <w:tmpl w:val="EECCC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16"/>
    <w:rsid w:val="006A789D"/>
    <w:rsid w:val="00B11F16"/>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1D9AC-F4D5-4FE4-8FA6-A524876B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F16"/>
    <w:rPr>
      <w:rFonts w:ascii="Times New Roman" w:hAnsi="Times New Roman" w:cs="Times New Roman"/>
      <w:sz w:val="24"/>
      <w:szCs w:val="24"/>
    </w:rPr>
  </w:style>
  <w:style w:type="paragraph" w:styleId="Heading1">
    <w:name w:val="heading 1"/>
    <w:basedOn w:val="Normal"/>
    <w:link w:val="Heading1Char"/>
    <w:uiPriority w:val="9"/>
    <w:qFormat/>
    <w:rsid w:val="00B11F16"/>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F1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11F16"/>
    <w:rPr>
      <w:color w:val="0000FF"/>
      <w:u w:val="single"/>
    </w:rPr>
  </w:style>
  <w:style w:type="paragraph" w:styleId="NormalWeb">
    <w:name w:val="Normal (Web)"/>
    <w:basedOn w:val="Normal"/>
    <w:uiPriority w:val="99"/>
    <w:semiHidden/>
    <w:unhideWhenUsed/>
    <w:rsid w:val="00B11F16"/>
    <w:pPr>
      <w:spacing w:before="100" w:beforeAutospacing="1" w:after="100" w:afterAutospacing="1"/>
    </w:pPr>
  </w:style>
  <w:style w:type="paragraph" w:customStyle="1" w:styleId="yiv7535168498msonormal">
    <w:name w:val="yiv7535168498msonormal"/>
    <w:basedOn w:val="Normal"/>
    <w:uiPriority w:val="99"/>
    <w:semiHidden/>
    <w:rsid w:val="00B11F16"/>
    <w:pPr>
      <w:spacing w:before="100" w:beforeAutospacing="1" w:after="100" w:afterAutospacing="1"/>
    </w:pPr>
  </w:style>
  <w:style w:type="character" w:styleId="Emphasis">
    <w:name w:val="Emphasis"/>
    <w:basedOn w:val="DefaultParagraphFont"/>
    <w:uiPriority w:val="20"/>
    <w:qFormat/>
    <w:rsid w:val="00B11F16"/>
    <w:rPr>
      <w:i/>
      <w:iCs/>
    </w:rPr>
  </w:style>
  <w:style w:type="character" w:styleId="Strong">
    <w:name w:val="Strong"/>
    <w:basedOn w:val="DefaultParagraphFont"/>
    <w:uiPriority w:val="22"/>
    <w:qFormat/>
    <w:rsid w:val="00B11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2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bout.usps.com/what/financi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2019-05-17T15:39:00Z</dcterms:created>
  <dcterms:modified xsi:type="dcterms:W3CDTF">2019-05-17T15:40:00Z</dcterms:modified>
</cp:coreProperties>
</file>